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10.xml" ContentType="application/vnd.openxmlformats-officedocument.wordprocessingml.footer+xml"/>
  <Override PartName="/word/footer7.xml" ContentType="application/vnd.openxmlformats-officedocument.wordprocessingml.footer+xml"/>
  <Override PartName="/word/footer9.xml" ContentType="application/vnd.openxmlformats-officedocument.wordprocessingml.footer+xml"/>
  <Override PartName="/word/footer12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styles.xml" ContentType="application/vnd.openxmlformats-officedocument.wordprocessingml.styles+xml"/>
  <Override PartName="/word/footer14.xml" ContentType="application/vnd.openxmlformats-officedocument.wordprocessingml.footer+xml"/>
  <Override PartName="/word/footer16.xml" ContentType="application/vnd.openxmlformats-officedocument.wordprocessingml.footer+xml"/>
  <Override PartName="/word/theme/theme1.xml" ContentType="application/vnd.openxmlformats-officedocument.theme+xml"/>
  <Override PartName="/word/footer18.xml" ContentType="application/vnd.openxmlformats-officedocument.wordprocessingml.footer+xml"/>
  <Override PartName="/word/footer17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9.xml" ContentType="application/vnd.openxmlformats-officedocument.wordprocessingml.footer+xml"/>
  <Override PartName="/word/document.xml" ContentType="application/vnd.openxmlformats-officedocument.wordprocessingml.document.main+xml"/>
  <Override PartName="/word/media/image1.wmf" ContentType="image/x-wmf"/>
  <Override PartName="/word/media/image2.wmf" ContentType="image/x-wmf"/>
  <Override PartName="/word/_rels/document.xml.rels" ContentType="application/vnd.openxmlformats-package.relationships+xml"/>
  <Override PartName="/word/footer15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footer13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mbeddings/oleObject1.xlsx" ContentType="application/vnd.openxmlformats-officedocument.spreadsheetml.sheet"/>
  <Override PartName="/word/embeddings/oleObject2.xlsx" ContentType="application/vnd.openxmlformats-officedocument.spreadsheetml.sheet"/>
  <Override PartName="/word/footnotes.xml" ContentType="application/vnd.openxmlformats-officedocument.wordprocessingml.footnot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6 к ТТ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 xml:space="preserve">к оформлению и составлению сметной документации на </w:t>
      </w:r>
      <w:r>
        <w:rPr>
          <w:rFonts w:cs="Times New Roman" w:ascii="Times New Roman" w:hAnsi="Times New Roman"/>
          <w:b/>
          <w:bCs/>
          <w:sz w:val="24"/>
          <w:szCs w:val="24"/>
        </w:rPr>
        <w:t>строительство и реконструкцию объектов капитального строительства</w:t>
      </w: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Style w:val="FootnoteReference"/>
          <w:rFonts w:cs="Times New Roman" w:ascii="Times New Roman" w:hAnsi="Times New Roman"/>
          <w:b/>
          <w:sz w:val="24"/>
          <w:szCs w:val="24"/>
        </w:rPr>
        <w:footnoteReference w:id="2"/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851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Настоящие требования разработаны для единого подхода к оформлению и составлению сметной документации </w:t>
      </w:r>
      <w:r>
        <w:rPr>
          <w:rFonts w:ascii="Times New Roman" w:hAnsi="Times New Roman"/>
          <w:sz w:val="24"/>
          <w:szCs w:val="24"/>
        </w:rPr>
        <w:t>на строительство и реконструкцию объектов капитального строительства</w:t>
      </w:r>
      <w:r>
        <w:rPr>
          <w:rFonts w:cs="Times New Roman" w:ascii="Times New Roman" w:hAnsi="Times New Roman"/>
          <w:sz w:val="24"/>
          <w:szCs w:val="24"/>
        </w:rPr>
        <w:t xml:space="preserve"> порядок определения стоимости которых регулируется Статьей 8.3 Градостроительного кодекса РФ.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851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работ определяется на основании Сметы договора, содержащей определенные в соответствии с расчетом плановой цены по частной категории «Новое строительство и реконструкция объектов капитального строительства»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3"/>
      </w:r>
      <w:r>
        <w:rPr>
          <w:rFonts w:cs="Times New Roman" w:ascii="Times New Roman" w:hAnsi="Times New Roman"/>
          <w:sz w:val="24"/>
          <w:szCs w:val="24"/>
        </w:rPr>
        <w:t xml:space="preserve"> наименования конструктивных решений (элементов), комплексов (видов) работ, оборудования, не входящего в состав конструктивного элемента, их цены на принятую единицу измерения, и общую стоимость, определенную с учетом подлежащих выполнению объемов работ (образец сметы договора приведен в Приложении №1 и №2 к настоящим требованиям).</w:t>
      </w:r>
    </w:p>
    <w:p>
      <w:pPr>
        <w:pStyle w:val="ConsPlusNormal1"/>
        <w:widowControl/>
        <w:numPr>
          <w:ilvl w:val="1"/>
          <w:numId w:val="3"/>
        </w:numPr>
        <w:tabs>
          <w:tab w:val="clear" w:pos="709"/>
          <w:tab w:val="left" w:pos="851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Смета договора составляется на основании </w:t>
      </w:r>
      <w:r>
        <w:rPr>
          <w:rFonts w:ascii="Times New Roman" w:hAnsi="Times New Roman"/>
          <w:sz w:val="24"/>
          <w:szCs w:val="24"/>
        </w:rPr>
        <w:t xml:space="preserve">сметной документации, входящей в состав рабочей документацией. </w:t>
      </w:r>
    </w:p>
    <w:p>
      <w:pPr>
        <w:pStyle w:val="NormalWeb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before="0" w:after="0"/>
        <w:ind w:left="0"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 xml:space="preserve">В случае внесения изменений в проектную/рабочую документацию, влекущих изменение объемов работ, предусмотренных Сметой договора, общая стоимость соответствующего конструктивного решения (элемента), комплекса (вида) работ, оборудования определяется исходя из установленной в смете договора цены единицы измерения данного конструктивного решения (элемента), комплекса (вида) работ, оборудования с учетом изменения объемов работ. </w:t>
      </w:r>
    </w:p>
    <w:p>
      <w:pPr>
        <w:pStyle w:val="NormalWeb"/>
        <w:numPr>
          <w:ilvl w:val="0"/>
          <w:numId w:val="3"/>
        </w:numPr>
        <w:tabs>
          <w:tab w:val="clear" w:pos="709"/>
          <w:tab w:val="left" w:pos="993" w:leader="none"/>
          <w:tab w:val="left" w:pos="1134" w:leader="none"/>
        </w:tabs>
        <w:spacing w:before="0" w:after="30"/>
        <w:ind w:left="0"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В случае внесения изменений в проектную / рабочую документацию в связи с включением в нее ранее непредусмотренных такой проектной документацией видов работ и (или) затрат, цена таких работ, затрат определяется с использованием соответствующих сметных нормативов и сметных цен, а также методических и других документов в сфере ценообразования и сметного нормирования с учетом затрат, включенных в состав цены конструктивных решений (элементов), комплексов (видов) работ (Цдоп.раб), по формуле:</w:t>
      </w:r>
    </w:p>
    <w:p>
      <w:pPr>
        <w:pStyle w:val="NormalWeb"/>
        <w:tabs>
          <w:tab w:val="clear" w:pos="709"/>
          <w:tab w:val="left" w:pos="993" w:leader="none"/>
          <w:tab w:val="left" w:pos="1134" w:leader="none"/>
        </w:tabs>
        <w:spacing w:before="0" w:after="30"/>
        <w:ind w:firstLine="567"/>
        <w:jc w:val="center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Цдоп.раб. = Цподр.раб. х Кинф. х Ктенд.,</w:t>
      </w:r>
    </w:p>
    <w:p>
      <w:pPr>
        <w:pStyle w:val="NormalWeb"/>
        <w:tabs>
          <w:tab w:val="clear" w:pos="709"/>
          <w:tab w:val="left" w:pos="993" w:leader="none"/>
          <w:tab w:val="left" w:pos="1134" w:leader="none"/>
        </w:tabs>
        <w:spacing w:before="0" w:after="30"/>
        <w:ind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 xml:space="preserve">где: </w:t>
      </w:r>
    </w:p>
    <w:p>
      <w:pPr>
        <w:pStyle w:val="NormalWeb"/>
        <w:tabs>
          <w:tab w:val="clear" w:pos="709"/>
          <w:tab w:val="left" w:pos="993" w:leader="none"/>
          <w:tab w:val="left" w:pos="1134" w:leader="none"/>
        </w:tabs>
        <w:spacing w:before="0" w:after="30"/>
        <w:ind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Цподр.раб. - цена ранее не предусмотренных проектной документацией видов работ и (или) затрат в уровне цен на дату утверждения проектной документации;</w:t>
      </w:r>
    </w:p>
    <w:p>
      <w:pPr>
        <w:pStyle w:val="NormalWeb"/>
        <w:tabs>
          <w:tab w:val="clear" w:pos="709"/>
          <w:tab w:val="left" w:pos="993" w:leader="none"/>
          <w:tab w:val="left" w:pos="1134" w:leader="none"/>
        </w:tabs>
        <w:spacing w:before="0" w:after="30"/>
        <w:ind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Кинф. - индексы-дефляторы, указанные в п. 4 настоящего приложения на соответствующий период выполнения работ;</w:t>
      </w:r>
    </w:p>
    <w:p>
      <w:pPr>
        <w:pStyle w:val="ConsPlusNormal1"/>
        <w:widowControl/>
        <w:tabs>
          <w:tab w:val="clear" w:pos="709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Ктенд. - коэффициент снижения начальной (максимальной) цены договора, определенный по результатам закупочных процедур (при наличии в условиях договора).</w:t>
      </w:r>
    </w:p>
    <w:p>
      <w:pPr>
        <w:pStyle w:val="ConsPlusNormal1"/>
        <w:tabs>
          <w:tab w:val="clear" w:pos="709"/>
          <w:tab w:val="left" w:pos="993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этом цена таких работ и (или) затрат при формировании Сметы договора определяется с учетом стоимостных показателей строительных ресурсов, необходимых для выполнения работ, и(или) работы (услуги), полученной по результатам конъюнктурного анализа, информации о среднемесячном размере оплаты труда рабочего первого разряда, занятого в строительной отрасли, установленного в субъекте Российской Федерации, в котором осуществляется выполнение работ, предусмотренных договором.</w:t>
      </w:r>
    </w:p>
    <w:p>
      <w:pPr>
        <w:pStyle w:val="NormalWeb"/>
        <w:numPr>
          <w:ilvl w:val="0"/>
          <w:numId w:val="3"/>
        </w:numPr>
        <w:tabs>
          <w:tab w:val="left" w:pos="709" w:leader="none"/>
          <w:tab w:val="left" w:pos="993" w:leader="none"/>
          <w:tab w:val="left" w:pos="1134" w:leader="none"/>
        </w:tabs>
        <w:spacing w:beforeAutospacing="1" w:after="0"/>
        <w:ind w:left="0"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В случае изменения объемов, видов работ и (или) затрат, предусмотренных ценой единицы конструктивного решения (элемента), комплекса (вида) работ Сметы договора, в соответствии с утвержденной заказчиком рабочей документацией, производится корректировка цены конструктивного решения (элемента), комплекса (вида) работ, на принятую единицу измерения, и общей стоимости, определенной с учетом подлежащих выполнению объемов работ.</w:t>
      </w:r>
    </w:p>
    <w:p>
      <w:pPr>
        <w:pStyle w:val="NormalWeb"/>
        <w:numPr>
          <w:ilvl w:val="0"/>
          <w:numId w:val="3"/>
        </w:numPr>
        <w:tabs>
          <w:tab w:val="clear" w:pos="709"/>
          <w:tab w:val="left" w:pos="851" w:leader="none"/>
        </w:tabs>
        <w:spacing w:before="0" w:after="30"/>
        <w:ind w:left="0"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 xml:space="preserve">Корректировка цены конструктивного решения (элемента), комплекса (вида) работ производится путем корректировки сметной документации, составленной с использованием соответствующих сметных нормативов и сметных цен, относящейся к соответствующим конструктивным решениям (элементам), комплексам (видам) работ (в соответствии с Ведомостью – образец Приложение №3 к настоящим Требованиям). </w:t>
      </w:r>
    </w:p>
    <w:p>
      <w:pPr>
        <w:pStyle w:val="NormalWeb"/>
        <w:numPr>
          <w:ilvl w:val="0"/>
          <w:numId w:val="3"/>
        </w:numPr>
        <w:tabs>
          <w:tab w:val="clear" w:pos="709"/>
          <w:tab w:val="left" w:pos="851" w:leader="none"/>
        </w:tabs>
        <w:spacing w:before="0" w:after="30"/>
        <w:ind w:left="0"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В случае, если заказчиком принято решение о сокращении сроков исполнения договора с перераспределением объемов финансирования с последующих периодов на более ранние периоды без изменения объемов и содержания работ, то смета договора не изменяется.</w:t>
      </w:r>
    </w:p>
    <w:p>
      <w:pPr>
        <w:pStyle w:val="NormalWeb"/>
        <w:numPr>
          <w:ilvl w:val="0"/>
          <w:numId w:val="3"/>
        </w:numPr>
        <w:tabs>
          <w:tab w:val="clear" w:pos="709"/>
          <w:tab w:val="left" w:pos="851" w:leader="none"/>
        </w:tabs>
        <w:spacing w:before="0" w:after="30"/>
        <w:ind w:left="0" w:firstLine="567"/>
        <w:jc w:val="both"/>
        <w:rPr>
          <w:rFonts w:ascii="Times New Roman" w:hAnsi="Times New Roman" w:eastAsia="Times New Roman" w:cs="Times New Roman"/>
          <w:color w:val="auto"/>
          <w:spacing w:val="0"/>
        </w:rPr>
      </w:pPr>
      <w:r>
        <w:rPr>
          <w:rFonts w:eastAsia="Times New Roman" w:cs="Times New Roman" w:ascii="Times New Roman" w:hAnsi="Times New Roman"/>
          <w:color w:val="auto"/>
          <w:spacing w:val="0"/>
        </w:rPr>
        <w:t>При составлении Сметы Договора на основании сметной документации, входящей в состав рабочей документации, необходимо дополнить ТТ «Требованиями к оформлению и составлению сметной документации в составе рабочей документации».</w:t>
      </w:r>
    </w:p>
    <w:p>
      <w:pPr>
        <w:pStyle w:val="ConsPlusNormal1"/>
        <w:widowControl/>
        <w:tabs>
          <w:tab w:val="clear" w:pos="709"/>
          <w:tab w:val="left" w:pos="284" w:leader="none"/>
          <w:tab w:val="left" w:pos="993" w:leader="none"/>
          <w:tab w:val="left" w:pos="1134" w:leader="none"/>
        </w:tabs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составлению сметной документации в составе рабочей документации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Основные условия ценообразования изложены в приложении №1 к настоящим требованиям и являются неотъемлемой частью требований к составлению сметной документации.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не допускается</w:t>
      </w:r>
      <w:r>
        <w:rPr>
          <w:rFonts w:cs="Times New Roman" w:ascii="Times New Roman" w:hAnsi="Times New Roman"/>
          <w:sz w:val="24"/>
          <w:szCs w:val="24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дополнений, а так же Методикой определения сметной стоимости строительства с применением федеральных единичных расценок и их отдельных составляющих, утверждённой Приказом Министерства строительства и ЖКХ РФ от 08.08.2022г № 648/пр. с учетом изменений и дополнений.</w:t>
      </w:r>
    </w:p>
    <w:p>
      <w:pPr>
        <w:pStyle w:val="Xmsolistparagraph"/>
        <w:numPr>
          <w:ilvl w:val="0"/>
          <w:numId w:val="3"/>
        </w:numPr>
        <w:shd w:val="clear" w:color="auto" w:fill="FFFFFF"/>
        <w:tabs>
          <w:tab w:val="clear" w:pos="709"/>
          <w:tab w:val="left" w:pos="851" w:leader="none"/>
        </w:tabs>
        <w:spacing w:beforeAutospacing="0" w:before="0" w:afterAutospacing="0" w:after="0"/>
        <w:ind w:left="0" w:firstLine="567"/>
        <w:jc w:val="both"/>
        <w:rPr>
          <w:color w:val="1F497D"/>
        </w:rPr>
      </w:pPr>
      <w:bookmarkStart w:id="0" w:name="_Hlk86254526"/>
      <w:r>
        <w:rPr>
          <w:color w:val="000000"/>
        </w:rPr>
        <w:t>Сметная цена материальных ресурсов и (или) оборудования (далее –МТР), закупаемых на территории региона субъекта Российской Федерации,</w:t>
      </w:r>
      <w:r>
        <w:rPr>
          <w:color w:val="1F497D"/>
        </w:rPr>
        <w:t xml:space="preserve"> </w:t>
      </w:r>
      <w:r>
        <w:rPr>
          <w:color w:val="000000"/>
        </w:rPr>
        <w:t>определяется в базисном уровне цен по состоянию на 01.01.2022 с использованием ФСБЦ-2022, индексов по группам однородных строительных ресурсов, размещенных во ФГИС ЦС по субъекту Российской Федерации, в котором расположен объект строительства.</w:t>
      </w:r>
    </w:p>
    <w:p>
      <w:pPr>
        <w:pStyle w:val="ConsPlusNormal1"/>
        <w:widowControl/>
        <w:tabs>
          <w:tab w:val="clear" w:pos="709"/>
          <w:tab w:val="left" w:pos="28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</w:t>
      </w:r>
      <w:r>
        <w:rPr>
          <w:rFonts w:cs="Times New Roman" w:ascii="Times New Roman" w:hAnsi="Times New Roman"/>
          <w:i/>
          <w:sz w:val="24"/>
          <w:szCs w:val="24"/>
        </w:rPr>
        <w:t xml:space="preserve">отсутствии </w:t>
      </w:r>
      <w:r>
        <w:rPr>
          <w:rFonts w:cs="Times New Roman" w:ascii="Times New Roman" w:hAnsi="Times New Roman"/>
          <w:sz w:val="24"/>
          <w:szCs w:val="24"/>
        </w:rPr>
        <w:t xml:space="preserve">информации о сметных ценах в ФГИС ЦС и ФССЦ по материальным ресурсам и оборудованию, их сметная цена формируется </w:t>
      </w:r>
      <w:bookmarkStart w:id="1" w:name="_Hlk86254576"/>
      <w:r>
        <w:rPr>
          <w:rFonts w:cs="Times New Roman" w:ascii="Times New Roman" w:hAnsi="Times New Roman"/>
          <w:sz w:val="24"/>
          <w:szCs w:val="24"/>
        </w:rPr>
        <w:t>методами, предусмотренными Методикой ПЦ (методы без использования сметных нормативов)</w:t>
      </w:r>
      <w:bookmarkEnd w:id="0"/>
      <w:bookmarkEnd w:id="1"/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28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Затраты на эксплуатацию строительной техники, не учтенной нормами и расценками, включенными в ФРСН, определяются </w:t>
      </w:r>
      <w:r>
        <w:rPr>
          <w:rFonts w:cs="Times New Roman" w:ascii="Times New Roman" w:hAnsi="Times New Roman"/>
          <w:sz w:val="24"/>
          <w:szCs w:val="24"/>
        </w:rPr>
        <w:t xml:space="preserve">методами, предусмотренными Методикой ПЦ (методы без использования сметных нормативов) </w:t>
      </w:r>
      <w:r>
        <w:rPr>
          <w:rFonts w:cs="Times New Roman" w:ascii="Times New Roman" w:hAnsi="Times New Roman"/>
          <w:color w:val="000000"/>
          <w:sz w:val="24"/>
          <w:szCs w:val="24"/>
        </w:rPr>
        <w:t>и учитываются в Главе 9 Сводного сметного расчета стоимости строительства (далее - ССРСС).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составлении сметной документации корректировка наименования работ, принятой расценки недопустима. При необходимости, вся дополнительная информация указывается в скобках, после указания наименования расценки (</w:t>
      </w:r>
      <w:r>
        <w:rPr>
          <w:rFonts w:cs="Times New Roman" w:ascii="Times New Roman" w:hAnsi="Times New Roman"/>
          <w:i/>
          <w:color w:val="000000"/>
          <w:sz w:val="24"/>
          <w:szCs w:val="24"/>
        </w:rPr>
        <w:t>например, Разборка, очистка, замена уплотнения, сборка крышки ванны подшипника: диаметр шейки вала свыше 0.95 до 1,5 м (диаметр шейки вала – 1.3 м), л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ибо указывается в примечании, через дополнительную информацию </w:t>
      </w:r>
      <w:r>
        <w:rPr>
          <w:rFonts w:cs="Times New Roman" w:ascii="Times New Roman" w:hAnsi="Times New Roman"/>
          <w:color w:val="000000"/>
          <w:sz w:val="24"/>
          <w:szCs w:val="24"/>
          <w:lang w:val="en-US"/>
        </w:rPr>
        <w:t>(в ПК Гранд-Смета).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cs="Times New Roman" w:ascii="Times New Roman" w:hAnsi="Times New Roman"/>
          <w:color w:val="000000"/>
          <w:sz w:val="24"/>
          <w:szCs w:val="24"/>
        </w:rPr>
        <w:t>применении коэффициенты перемножаются, результат округляется до семи знаков после запятой.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 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 При этом, понижающий коэффициент, указывается в размере не более 7-ми знаков после запятой.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cs="Times New Roman" w:ascii="Times New Roman" w:hAnsi="Times New Roman"/>
          <w:sz w:val="24"/>
          <w:szCs w:val="24"/>
          <w:lang w:val="en-US"/>
        </w:rPr>
        <w:t>VII</w:t>
      </w:r>
      <w:r>
        <w:rPr>
          <w:rFonts w:cs="Times New Roman" w:ascii="Times New Roman" w:hAnsi="Times New Roman"/>
          <w:sz w:val="24"/>
          <w:szCs w:val="24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8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</w:t>
      </w:r>
    </w:p>
    <w:p>
      <w:pPr>
        <w:pStyle w:val="ConsPlusNormal1"/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4"/>
          <w:szCs w:val="24"/>
        </w:rPr>
        <w:t>с Приложением №1.5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 и включаются в ССРСС.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ЛС на ПНР коэффициенты, учитывающие условия производства работ, начисляются только на те этапы работ, которые фактически производятся в данных условиях. Долю работ в общих затратах, для начисления коэффициента, принимать в соответствии со структурой пусконаладочных работ, приведенной в Общих положениях сборников ПНР.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Стоимость шеф - монтажных и шеф - наладочных работ включается в сметную стоимость. 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</w:t>
      </w:r>
      <w:r>
        <w:rPr>
          <w:rFonts w:cs="Times New Roman" w:ascii="Times New Roman" w:hAnsi="Times New Roman"/>
          <w:color w:val="000000"/>
          <w:sz w:val="24"/>
          <w:szCs w:val="24"/>
        </w:rPr>
        <w:t>образец формы расчета представлен в Приложении №2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перевооружению).</w:t>
      </w:r>
      <w:r>
        <w:rPr>
          <w:rFonts w:cs="Times New Roman" w:ascii="Times New Roman" w:hAnsi="Times New Roman"/>
          <w:sz w:val="24"/>
          <w:szCs w:val="24"/>
        </w:rPr>
        <w:t xml:space="preserve"> Участник (подрядчик, контрагент) представляет смету на шеф-монтажные работы составленную в соответствии с графиком выполнения работ.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Ref19086149"/>
      <w:r>
        <w:rPr>
          <w:rFonts w:cs="Times New Roman" w:ascii="Times New Roman" w:hAnsi="Times New Roman"/>
          <w:sz w:val="24"/>
          <w:szCs w:val="24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округлять:</w:t>
      </w:r>
      <w:bookmarkEnd w:id="2"/>
    </w:p>
    <w:p>
      <w:pPr>
        <w:pStyle w:val="ConsPlusNormal1"/>
        <w:numPr>
          <w:ilvl w:val="0"/>
          <w:numId w:val="11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cs="Times New Roman" w:ascii="Times New Roman" w:hAnsi="Times New Roman"/>
          <w:b/>
          <w:sz w:val="24"/>
          <w:szCs w:val="24"/>
        </w:rPr>
        <w:t>в рублях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до целых единиц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numPr>
          <w:ilvl w:val="0"/>
          <w:numId w:val="11"/>
        </w:numPr>
        <w:tabs>
          <w:tab w:val="clear" w:pos="709"/>
          <w:tab w:val="left" w:pos="567" w:leader="none"/>
          <w:tab w:val="left" w:pos="851" w:leader="none"/>
          <w:tab w:val="left" w:pos="993" w:leader="none"/>
          <w:tab w:val="left" w:pos="1134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 w:ascii="Times New Roman" w:hAnsi="Times New Roman"/>
          <w:b/>
          <w:sz w:val="24"/>
          <w:szCs w:val="24"/>
        </w:rPr>
        <w:t>рублях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до двух знаков</w:t>
      </w:r>
      <w:r>
        <w:rPr>
          <w:rFonts w:cs="Times New Roman" w:ascii="Times New Roman" w:hAnsi="Times New Roman"/>
          <w:sz w:val="24"/>
          <w:szCs w:val="24"/>
        </w:rPr>
        <w:t xml:space="preserve"> после запятой. Величину НДС не указывать.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</w:tabs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Выходные формы сметных расчетов должны соответствовать Образцам по приложениям 1.5. </w:t>
      </w:r>
    </w:p>
    <w:p>
      <w:pPr>
        <w:pStyle w:val="ConsPlusNormal1"/>
        <w:widowControl/>
        <w:numPr>
          <w:ilvl w:val="0"/>
          <w:numId w:val="3"/>
        </w:numPr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widowControl/>
        <w:numPr>
          <w:ilvl w:val="0"/>
          <w:numId w:val="3"/>
        </w:numPr>
        <w:spacing w:before="40" w:after="4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должна быть представлена в двух вариантах: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бумажном носителе (количество указано в конкурсной документации);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электронном носителе (в форматах «</w:t>
      </w:r>
      <w:r>
        <w:rPr>
          <w:rFonts w:cs="Times New Roman" w:ascii="Times New Roman" w:hAnsi="Times New Roman"/>
          <w:sz w:val="24"/>
          <w:szCs w:val="24"/>
          <w:lang w:val="en-US"/>
        </w:rPr>
        <w:t>xml</w:t>
      </w:r>
      <w:r>
        <w:rPr>
          <w:rFonts w:cs="Times New Roman" w:ascii="Times New Roman" w:hAnsi="Times New Roman"/>
          <w:sz w:val="24"/>
          <w:szCs w:val="24"/>
        </w:rPr>
        <w:t>»,</w:t>
      </w:r>
      <w:r>
        <w:rPr>
          <w:rFonts w:cs="Times New Roman" w:ascii="Times New Roman" w:hAnsi="Times New Roman"/>
          <w:color w:val="2E74B5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ПК «Гранд-Смета», «Excel», «</w:t>
      </w:r>
      <w:r>
        <w:rPr>
          <w:rFonts w:cs="Times New Roman" w:ascii="Times New Roman" w:hAnsi="Times New Roman"/>
          <w:sz w:val="24"/>
          <w:szCs w:val="24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</w:rPr>
        <w:t>»), полностью соответствующему бумажному варианту;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сметная документация в формате «Exce</w:t>
      </w:r>
      <w:r>
        <w:rPr>
          <w:rFonts w:cs="Times New Roman" w:ascii="Times New Roman" w:hAnsi="Times New Roman"/>
          <w:sz w:val="24"/>
          <w:szCs w:val="24"/>
          <w:lang w:val="en-US"/>
        </w:rPr>
        <w:t>l</w:t>
      </w:r>
      <w:r>
        <w:rPr>
          <w:rFonts w:cs="Times New Roman" w:ascii="Times New Roman" w:hAnsi="Times New Roman"/>
          <w:sz w:val="24"/>
          <w:szCs w:val="24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widowControl/>
        <w:spacing w:before="40" w:after="40"/>
        <w:ind w:left="709" w:hanging="0"/>
        <w:jc w:val="both"/>
        <w:rPr>
          <w:rFonts w:ascii="Times New Roman" w:hAnsi="Times New Roman" w:cs="Times New Roman"/>
          <w:strike/>
          <w:sz w:val="24"/>
          <w:szCs w:val="24"/>
          <w:highlight w:val="yellow"/>
        </w:rPr>
      </w:pPr>
      <w:r>
        <w:rPr>
          <w:rFonts w:cs="Times New Roman" w:ascii="Times New Roman" w:hAnsi="Times New Roman"/>
          <w:strike/>
          <w:sz w:val="24"/>
          <w:szCs w:val="24"/>
          <w:highlight w:val="yellow"/>
        </w:rPr>
      </w:r>
    </w:p>
    <w:p>
      <w:pPr>
        <w:sectPr>
          <w:footerReference w:type="default" r:id="rId2"/>
          <w:footnotePr>
            <w:numFmt w:val="decimal"/>
            <w:numRestart w:val="eachSect"/>
          </w:footnotePr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1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Требованиям к оформлению 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и составлению сметной документации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на </w:t>
      </w:r>
      <w:r>
        <w:rPr>
          <w:rFonts w:ascii="Times New Roman" w:hAnsi="Times New Roman"/>
          <w:bCs/>
        </w:rPr>
        <w:t xml:space="preserve">строительство и реконструкцию объектов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bCs/>
        </w:rPr>
        <w:t>капитального строительства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Смета Договора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jc w:val="center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(наименование объекта)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tbl>
      <w:tblPr>
        <w:tblStyle w:val="affff9"/>
        <w:tblW w:w="13745" w:type="dxa"/>
        <w:jc w:val="left"/>
        <w:tblInd w:w="110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25"/>
        <w:gridCol w:w="3905"/>
        <w:gridCol w:w="1560"/>
        <w:gridCol w:w="1417"/>
        <w:gridCol w:w="2837"/>
        <w:gridCol w:w="1347"/>
        <w:gridCol w:w="2053"/>
      </w:tblGrid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N п/п</w:t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конструктивных решений (элементов), комплексов (видов) работ, оборудования</w:t>
            </w:r>
            <w:r>
              <w:rPr>
                <w:rStyle w:val="FootnoteReference"/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footnoteReference w:id="4"/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Единица измерения</w:t>
            </w:r>
            <w:r>
              <w:rPr>
                <w:rStyle w:val="Style3"/>
                <w:rFonts w:eastAsia="Times New Roman" w:cs="Times New Roman"/>
                <w:kern w:val="0"/>
                <w:lang w:val="en-US" w:eastAsia="ru-RU" w:bidi="ar-SA"/>
              </w:rPr>
              <w:t>1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Количество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(объем работ)</w:t>
            </w:r>
            <w:r>
              <w:rPr>
                <w:rStyle w:val="Style3"/>
                <w:rFonts w:eastAsia="Times New Roman" w:cs="Times New Roman"/>
                <w:kern w:val="0"/>
                <w:lang w:val="en-US" w:eastAsia="ru-RU" w:bidi="ar-SA"/>
              </w:rPr>
              <w:t>1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90" w:leader="none"/>
                <w:tab w:val="left" w:pos="1200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Цена на единицу измерения, без НДС руб.</w:t>
            </w:r>
          </w:p>
        </w:tc>
        <w:tc>
          <w:tcPr>
            <w:tcW w:w="134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Стоимость всего, руб.</w:t>
            </w:r>
            <w:r>
              <w:rPr>
                <w:rStyle w:val="FootnoteReference"/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footnoteReference w:id="5"/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Страна происхождения оборудования</w:t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1</w:t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2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3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4</w:t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134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eastAsia="ru-RU" w:bidi="ar-SA"/>
              </w:rPr>
              <w:t>7</w:t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34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34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Итого: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34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Сумма  НДС: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34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62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905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Всего с НДС</w:t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83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34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05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ind w:left="567" w:hanging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hd w:val="clear" w:color="auto" w:fill="FFFFFF"/>
        <w:spacing w:lineRule="auto" w:line="240" w:before="0" w:after="0"/>
        <w:ind w:left="567" w:hanging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Заказчик: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hd w:val="clear" w:color="auto" w:fill="FFFFFF"/>
        <w:spacing w:lineRule="auto" w:line="240" w:before="0" w:after="0"/>
        <w:ind w:left="567" w:hanging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Подрядчик: :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ind w:left="567" w:hanging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bookmarkStart w:id="3" w:name="l537"/>
      <w:bookmarkStart w:id="4" w:name="l536"/>
      <w:bookmarkEnd w:id="3"/>
      <w:bookmarkEnd w:id="4"/>
      <w:r>
        <w:rPr>
          <w:rStyle w:val="Style15"/>
          <w:rFonts w:ascii="Times New Roman" w:hAnsi="Times New Roman"/>
          <w:iCs/>
        </w:rPr>
        <w:t>Приложение № 2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Требованиям к оформлению 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и составлению сметной документации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на </w:t>
      </w:r>
      <w:r>
        <w:rPr>
          <w:rFonts w:ascii="Times New Roman" w:hAnsi="Times New Roman"/>
          <w:bCs/>
        </w:rPr>
        <w:t xml:space="preserve">строительство и реконструкцию объектов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Cs/>
        </w:rPr>
        <w:t>капитального строительства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Образец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Смета Договора (с учетом изменения)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(наименование объекта)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tbl>
      <w:tblPr>
        <w:tblStyle w:val="affff9"/>
        <w:tblW w:w="1542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87"/>
        <w:gridCol w:w="3141"/>
        <w:gridCol w:w="877"/>
        <w:gridCol w:w="1631"/>
        <w:gridCol w:w="1492"/>
        <w:gridCol w:w="1630"/>
        <w:gridCol w:w="1494"/>
        <w:gridCol w:w="1631"/>
        <w:gridCol w:w="1493"/>
        <w:gridCol w:w="1551"/>
      </w:tblGrid>
      <w:tr>
        <w:trPr/>
        <w:tc>
          <w:tcPr>
            <w:tcW w:w="487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N п/п</w:t>
            </w:r>
          </w:p>
        </w:tc>
        <w:tc>
          <w:tcPr>
            <w:tcW w:w="3141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Наименование конструктивных решений (элементов), комплексов (видов) работ, оборудования</w:t>
            </w:r>
            <w:r>
              <w:rPr>
                <w:rStyle w:val="FootnoteReference"/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footnoteReference w:id="6"/>
            </w:r>
          </w:p>
        </w:tc>
        <w:tc>
          <w:tcPr>
            <w:tcW w:w="877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Ед.  изм</w:t>
            </w:r>
            <w:r>
              <w:rPr>
                <w:rStyle w:val="Style3"/>
                <w:rFonts w:eastAsia="Times New Roman" w:cs="Times New Roman" w:ascii="Times New Roman" w:hAnsi="Times New Roman"/>
                <w:kern w:val="0"/>
                <w:sz w:val="20"/>
                <w:szCs w:val="20"/>
                <w:lang w:val="en-US" w:eastAsia="ru-RU" w:bidi="ar-SA"/>
              </w:rPr>
              <w:t>1</w:t>
            </w:r>
          </w:p>
        </w:tc>
        <w:tc>
          <w:tcPr>
            <w:tcW w:w="3123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Количество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(объем работ)</w:t>
            </w:r>
            <w:r>
              <w:rPr>
                <w:rStyle w:val="Style3"/>
                <w:rFonts w:eastAsia="Times New Roman" w:cs="Times New Roman" w:ascii="Times New Roman" w:hAnsi="Times New Roman"/>
                <w:kern w:val="0"/>
                <w:sz w:val="20"/>
                <w:szCs w:val="20"/>
                <w:lang w:val="en-US" w:eastAsia="ru-RU" w:bidi="ar-SA"/>
              </w:rPr>
              <w:t>1</w:t>
            </w:r>
          </w:p>
        </w:tc>
        <w:tc>
          <w:tcPr>
            <w:tcW w:w="3124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Цена на единицу измерения, без НДС руб.</w:t>
            </w:r>
          </w:p>
        </w:tc>
        <w:tc>
          <w:tcPr>
            <w:tcW w:w="3124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Стоимость всего, руб.</w:t>
            </w:r>
            <w:r>
              <w:rPr>
                <w:rStyle w:val="FootnoteReference"/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footnoteReference w:id="7"/>
            </w:r>
          </w:p>
        </w:tc>
        <w:tc>
          <w:tcPr>
            <w:tcW w:w="1551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Страна происхождения оборудования</w:t>
            </w:r>
          </w:p>
        </w:tc>
      </w:tr>
      <w:tr>
        <w:trPr/>
        <w:tc>
          <w:tcPr>
            <w:tcW w:w="487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141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77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первоначальный</w:t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 учетом корректировки</w:t>
            </w:r>
          </w:p>
        </w:tc>
        <w:tc>
          <w:tcPr>
            <w:tcW w:w="163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первоначальный</w:t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 учетом корректировки</w:t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первоначальный</w:t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 учетом корректировки</w:t>
            </w:r>
          </w:p>
        </w:tc>
        <w:tc>
          <w:tcPr>
            <w:tcW w:w="1551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48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87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3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55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48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87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5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8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87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5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8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Итого:</w:t>
            </w:r>
          </w:p>
        </w:tc>
        <w:tc>
          <w:tcPr>
            <w:tcW w:w="87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5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8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Сумма НДС:</w:t>
            </w:r>
          </w:p>
        </w:tc>
        <w:tc>
          <w:tcPr>
            <w:tcW w:w="87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5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48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314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Всего с НДС</w:t>
            </w:r>
          </w:p>
        </w:tc>
        <w:tc>
          <w:tcPr>
            <w:tcW w:w="877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2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63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49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155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Заказчик: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sectPr>
          <w:footerReference w:type="default" r:id="rId3"/>
          <w:footerReference w:type="first" r:id="rId4"/>
          <w:footnotePr>
            <w:numFmt w:val="decimal"/>
            <w:numRestart w:val="eachSect"/>
          </w:footnotePr>
          <w:type w:val="nextPage"/>
          <w:pgSz w:orient="landscape" w:w="16838" w:h="11906"/>
          <w:pgMar w:left="425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Подрядчик: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  <w:r>
        <w:br w:type="page"/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Style w:val="Style15"/>
          <w:rFonts w:ascii="Times New Roman" w:hAnsi="Times New Roman"/>
          <w:iCs/>
        </w:rPr>
        <w:t>Приложение № 3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Требованиям к оформлению </w:t>
      </w:r>
    </w:p>
    <w:p>
      <w:pPr>
        <w:pStyle w:val="ConsPlusNormal1"/>
        <w:widowControl/>
        <w:tabs>
          <w:tab w:val="clear" w:pos="709"/>
          <w:tab w:val="left" w:pos="284" w:leader="none"/>
        </w:tabs>
        <w:ind w:firstLine="709"/>
        <w:jc w:val="right"/>
        <w:rPr>
          <w:rFonts w:ascii="Times New Roman" w:hAnsi="Times New Roman"/>
        </w:rPr>
      </w:pPr>
      <w:r>
        <w:rPr>
          <w:rFonts w:cs="Times New Roman" w:ascii="Times New Roman" w:hAnsi="Times New Roman"/>
          <w:sz w:val="22"/>
          <w:szCs w:val="22"/>
        </w:rPr>
        <w:t xml:space="preserve">и составлению сметной документации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Fonts w:ascii="Times New Roman" w:hAnsi="Times New Roman"/>
          <w:bCs/>
        </w:rPr>
      </w:pPr>
      <w:r>
        <w:rPr>
          <w:rFonts w:ascii="Times New Roman" w:hAnsi="Times New Roman"/>
        </w:rPr>
        <w:t xml:space="preserve">на </w:t>
      </w:r>
      <w:r>
        <w:rPr>
          <w:rFonts w:ascii="Times New Roman" w:hAnsi="Times New Roman"/>
          <w:bCs/>
        </w:rPr>
        <w:t xml:space="preserve">строительство и реконструкцию объектов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bCs/>
        </w:rPr>
        <w:t>капитального строительства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>
          <w:rFonts w:ascii="Times New Roman" w:hAnsi="Times New Roman"/>
          <w:b/>
        </w:rPr>
      </w:pPr>
      <w:r>
        <w:rPr/>
        <w:t>Образец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/>
      </w:pPr>
      <w:r>
        <w:rPr/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Ведомость объемов конструктивных решений (элементов) и комплексов (видов) работ, оборудования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center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  <w:t>(наименование объекта)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tbl>
      <w:tblPr>
        <w:tblStyle w:val="affff9"/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14"/>
        <w:gridCol w:w="3350"/>
        <w:gridCol w:w="2433"/>
        <w:gridCol w:w="1246"/>
        <w:gridCol w:w="2211"/>
      </w:tblGrid>
      <w:tr>
        <w:trPr/>
        <w:tc>
          <w:tcPr>
            <w:tcW w:w="61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335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</w:t>
            </w: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243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Наименование конструктивных решений (элементов), комплексов (видов) работ, оборудования</w:t>
            </w:r>
            <w:r>
              <w:rPr>
                <w:rStyle w:val="FootnoteReference"/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footnoteReference w:id="8"/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Единица измерения</w:t>
            </w:r>
          </w:p>
        </w:tc>
        <w:tc>
          <w:tcPr>
            <w:tcW w:w="221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Количество (объем работ)</w:t>
            </w:r>
          </w:p>
        </w:tc>
      </w:tr>
      <w:tr>
        <w:trPr/>
        <w:tc>
          <w:tcPr>
            <w:tcW w:w="61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35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43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21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61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335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243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221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</w:tr>
      <w:tr>
        <w:trPr/>
        <w:tc>
          <w:tcPr>
            <w:tcW w:w="614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3350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2433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1246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  <w:tc>
          <w:tcPr>
            <w:tcW w:w="2211" w:type="dxa"/>
            <w:tcBorders/>
          </w:tcPr>
          <w:p>
            <w:pPr>
              <w:pStyle w:val="Normal"/>
              <w:widowControl w:val="false"/>
              <w:tabs>
                <w:tab w:val="clear" w:pos="709"/>
                <w:tab w:val="left" w:pos="426" w:leader="none"/>
              </w:tabs>
              <w:suppressAutoHyphens w:val="true"/>
              <w:spacing w:lineRule="auto" w:line="240" w:before="0" w:after="0"/>
              <w:jc w:val="right"/>
              <w:rPr>
                <w:rStyle w:val="Style15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</w:r>
          </w:p>
        </w:tc>
      </w:tr>
    </w:tbl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Составил: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Проверил:     </w:t>
      </w:r>
      <w:r>
        <w:rPr>
          <w:rFonts w:ascii="Times New Roman" w:hAnsi="Times New Roman"/>
        </w:rPr>
        <w:t>/должность, организация/_______/подпись/___________/расшифровка подписи/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sectPr>
          <w:footerReference w:type="default" r:id="rId5"/>
          <w:footerReference w:type="first" r:id="rId6"/>
          <w:footnotePr>
            <w:numFmt w:val="decimal"/>
            <w:numRestart w:val="eachSect"/>
          </w:footnotePr>
          <w:type w:val="nextPage"/>
          <w:pgSz w:w="11906" w:h="16838"/>
          <w:pgMar w:left="1276" w:right="709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tabs>
          <w:tab w:val="clear" w:pos="709"/>
          <w:tab w:val="left" w:pos="426" w:leader="none"/>
        </w:tabs>
        <w:spacing w:lineRule="auto" w:line="240" w:before="0" w:after="0"/>
        <w:jc w:val="right"/>
        <w:rPr>
          <w:rStyle w:val="Style15"/>
          <w:rFonts w:ascii="Times New Roman" w:hAnsi="Times New Roman"/>
          <w:iCs/>
        </w:rPr>
      </w:pPr>
      <w:r>
        <w:rPr>
          <w:rFonts w:ascii="Times New Roman" w:hAnsi="Times New Roman"/>
          <w:iCs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 (</w:t>
      </w:r>
      <w:r>
        <w:rPr>
          <w:rFonts w:ascii="Times New Roman" w:hAnsi="Times New Roman"/>
          <w:b/>
          <w:color w:val="000000"/>
          <w:sz w:val="20"/>
          <w:szCs w:val="20"/>
          <w:lang w:val="en-US"/>
        </w:rPr>
        <w:t>Р</w:t>
      </w:r>
      <w:r>
        <w:rPr>
          <w:rFonts w:ascii="Times New Roman" w:hAnsi="Times New Roman"/>
          <w:b/>
          <w:color w:val="000000"/>
          <w:sz w:val="20"/>
          <w:szCs w:val="20"/>
        </w:rPr>
        <w:t>ИМ)</w:t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088"/>
        <w:gridCol w:w="1263"/>
        <w:gridCol w:w="670"/>
        <w:gridCol w:w="2688"/>
        <w:gridCol w:w="819"/>
        <w:gridCol w:w="1057"/>
        <w:gridCol w:w="644"/>
        <w:gridCol w:w="1003"/>
        <w:gridCol w:w="1043"/>
        <w:gridCol w:w="644"/>
        <w:gridCol w:w="1003"/>
        <w:gridCol w:w="492"/>
        <w:gridCol w:w="665"/>
        <w:gridCol w:w="2141"/>
      </w:tblGrid>
      <w:tr>
        <w:trPr>
          <w:trHeight w:val="285" w:hRule="atLeast"/>
        </w:trPr>
        <w:tc>
          <w:tcPr>
            <w:tcW w:w="302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68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01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709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945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088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8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330" w:hRule="atLeast"/>
        </w:trPr>
        <w:tc>
          <w:tcPr>
            <w:tcW w:w="235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  <w:tc>
          <w:tcPr>
            <w:tcW w:w="67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68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г</w:t>
            </w:r>
          </w:p>
        </w:tc>
      </w:tr>
      <w:tr>
        <w:trPr>
          <w:trHeight w:val="225" w:hRule="atLeast"/>
        </w:trPr>
        <w:tc>
          <w:tcPr>
            <w:tcW w:w="3021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199" w:type="dxa"/>
            <w:gridSpan w:val="11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3021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507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ПК "ГРАНД-Смета 202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"</w:t>
            </w:r>
          </w:p>
        </w:tc>
        <w:tc>
          <w:tcPr>
            <w:tcW w:w="105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4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3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41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</w:tr>
      <w:tr>
        <w:trPr>
          <w:trHeight w:val="165" w:hRule="exact"/>
        </w:trPr>
        <w:tc>
          <w:tcPr>
            <w:tcW w:w="108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26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70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8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5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4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9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4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220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225" w:hRule="exact"/>
        </w:trPr>
        <w:tc>
          <w:tcPr>
            <w:tcW w:w="15220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5220" w:type="dxa"/>
            <w:gridSpan w:val="14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480" w:hRule="atLeast"/>
        </w:trPr>
        <w:tc>
          <w:tcPr>
            <w:tcW w:w="15220" w:type="dxa"/>
            <w:gridSpan w:val="1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</w:tbl>
    <w:p>
      <w:pPr>
        <w:pStyle w:val="Normal"/>
        <w:spacing w:lineRule="auto" w:line="240" w:before="0" w:after="0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1600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006"/>
        <w:gridCol w:w="1331"/>
        <w:gridCol w:w="11"/>
        <w:gridCol w:w="848"/>
        <w:gridCol w:w="12"/>
        <w:gridCol w:w="676"/>
        <w:gridCol w:w="10"/>
        <w:gridCol w:w="800"/>
        <w:gridCol w:w="10"/>
        <w:gridCol w:w="588"/>
        <w:gridCol w:w="10"/>
        <w:gridCol w:w="878"/>
        <w:gridCol w:w="8"/>
        <w:gridCol w:w="100"/>
        <w:gridCol w:w="9"/>
        <w:gridCol w:w="133"/>
        <w:gridCol w:w="10"/>
        <w:gridCol w:w="644"/>
        <w:gridCol w:w="10"/>
        <w:gridCol w:w="328"/>
        <w:gridCol w:w="11"/>
        <w:gridCol w:w="784"/>
        <w:gridCol w:w="10"/>
        <w:gridCol w:w="174"/>
        <w:gridCol w:w="11"/>
        <w:gridCol w:w="1362"/>
        <w:gridCol w:w="10"/>
        <w:gridCol w:w="75"/>
        <w:gridCol w:w="9"/>
        <w:gridCol w:w="933"/>
        <w:gridCol w:w="10"/>
        <w:gridCol w:w="109"/>
        <w:gridCol w:w="9"/>
        <w:gridCol w:w="579"/>
        <w:gridCol w:w="8"/>
        <w:gridCol w:w="429"/>
        <w:gridCol w:w="10"/>
        <w:gridCol w:w="637"/>
        <w:gridCol w:w="22"/>
        <w:gridCol w:w="120"/>
        <w:gridCol w:w="22"/>
        <w:gridCol w:w="799"/>
        <w:gridCol w:w="355"/>
        <w:gridCol w:w="834"/>
        <w:gridCol w:w="236"/>
        <w:gridCol w:w="1016"/>
      </w:tblGrid>
      <w:tr>
        <w:trPr>
          <w:trHeight w:val="300" w:hRule="atLeast"/>
        </w:trPr>
        <w:tc>
          <w:tcPr>
            <w:tcW w:w="14980" w:type="dxa"/>
            <w:gridSpan w:val="4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Волжская ГЭС. ОРУ 220 кВ. Релейная защита и автоматика.Демонтажные работы</w:t>
            </w:r>
          </w:p>
        </w:tc>
        <w:tc>
          <w:tcPr>
            <w:tcW w:w="101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25" w:hRule="atLeast"/>
        </w:trPr>
        <w:tc>
          <w:tcPr>
            <w:tcW w:w="14980" w:type="dxa"/>
            <w:gridSpan w:val="45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(наименование работ и затрат)</w:t>
            </w:r>
          </w:p>
        </w:tc>
        <w:tc>
          <w:tcPr>
            <w:tcW w:w="101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40" w:hRule="atLeast"/>
        </w:trPr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 xml:space="preserve">Составлен </w:t>
            </w:r>
          </w:p>
        </w:tc>
        <w:tc>
          <w:tcPr>
            <w:tcW w:w="1331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68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1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8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Основание</w:t>
            </w:r>
          </w:p>
        </w:tc>
        <w:tc>
          <w:tcPr>
            <w:tcW w:w="5174" w:type="dxa"/>
            <w:gridSpan w:val="11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ЭТЛ-13622-ЛС.1.ВОР</w:t>
            </w:r>
          </w:p>
        </w:tc>
        <w:tc>
          <w:tcPr>
            <w:tcW w:w="25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74" w:type="dxa"/>
            <w:gridSpan w:val="11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5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9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5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5" w:hRule="exact"/>
        </w:trPr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0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8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5302" w:type="dxa"/>
            <w:gridSpan w:val="11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Составлен(а) в текущем уровне цен ,    2 кв. 2026г  </w:t>
            </w:r>
          </w:p>
        </w:tc>
        <w:tc>
          <w:tcPr>
            <w:tcW w:w="99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</w:r>
          </w:p>
        </w:tc>
        <w:tc>
          <w:tcPr>
            <w:tcW w:w="79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18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72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7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8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3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95" w:hRule="atLeast"/>
        </w:trPr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486" w:type="dxa"/>
            <w:gridSpan w:val="4"/>
            <w:tcBorders>
              <w:top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25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348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860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6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484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3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4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1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0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9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5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68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8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5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1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48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8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78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425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5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cs="Arial" w:ascii="Arial" w:hAnsi="Arial"/>
                <w:sz w:val="16"/>
                <w:szCs w:val="16"/>
                <w:lang w:val="en-US"/>
              </w:rPr>
              <w:t>0.00</w:t>
            </w:r>
          </w:p>
        </w:tc>
        <w:tc>
          <w:tcPr>
            <w:tcW w:w="81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48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8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78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425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5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1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48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086" w:type="dxa"/>
            <w:gridSpan w:val="8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78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425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59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0,00</w:t>
            </w:r>
          </w:p>
        </w:tc>
        <w:tc>
          <w:tcPr>
            <w:tcW w:w="81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148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5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75" w:type="dxa"/>
            <w:gridSpan w:val="1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821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 </w:t>
            </w:r>
          </w:p>
        </w:tc>
        <w:tc>
          <w:tcPr>
            <w:tcW w:w="1425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00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33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59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8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10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86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0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95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4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1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25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89" w:type="dxa"/>
            <w:gridSpan w:val="4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2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25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1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10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955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99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486" w:type="dxa"/>
            <w:gridSpan w:val="1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4970" w:type="dxa"/>
            <w:gridSpan w:val="1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стоимость, руб.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269" w:hRule="atLeast"/>
        </w:trPr>
        <w:tc>
          <w:tcPr>
            <w:tcW w:w="10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55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96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486" w:type="dxa"/>
            <w:gridSpan w:val="1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4970" w:type="dxa"/>
            <w:gridSpan w:val="1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873" w:hRule="atLeast"/>
        </w:trPr>
        <w:tc>
          <w:tcPr>
            <w:tcW w:w="10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3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955" w:type="dxa"/>
            <w:gridSpan w:val="8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96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7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</w:t>
            </w:r>
            <w:r>
              <w:rPr>
                <w:rFonts w:cs="Arial" w:ascii="Arial" w:hAnsi="Arial"/>
                <w:color w:val="000000"/>
                <w:sz w:val="16"/>
                <w:szCs w:val="16"/>
                <w:lang w:val="en-US"/>
              </w:rPr>
              <w:t>.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 изм</w:t>
            </w:r>
          </w:p>
        </w:tc>
        <w:tc>
          <w:tcPr>
            <w:tcW w:w="1317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02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базисном уровне цен</w:t>
            </w:r>
          </w:p>
        </w:tc>
        <w:tc>
          <w:tcPr>
            <w:tcW w:w="70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08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 изм в текущем уровне цен</w:t>
            </w:r>
          </w:p>
        </w:tc>
        <w:tc>
          <w:tcPr>
            <w:tcW w:w="131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8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81" w:hRule="atLeast"/>
        </w:trPr>
        <w:tc>
          <w:tcPr>
            <w:tcW w:w="1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55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7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17" w:type="dxa"/>
            <w:gridSpan w:val="6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2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7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84" w:type="dxa"/>
            <w:gridSpan w:val="4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5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36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016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/>
      </w:r>
    </w:p>
    <w:p>
      <w:pPr>
        <w:sectPr>
          <w:footerReference w:type="default" r:id="rId7"/>
          <w:footerReference w:type="first" r:id="rId8"/>
          <w:footnotePr>
            <w:numFmt w:val="decimal"/>
            <w:numRestart w:val="eachSect"/>
          </w:footnotePr>
          <w:type w:val="nextPage"/>
          <w:pgSz w:orient="landscape" w:w="16838" w:h="11906"/>
          <w:pgMar w:left="766" w:right="851" w:gutter="0" w:header="0" w:top="1276" w:footer="709" w:bottom="766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оформлению и составлению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сметной документации на выполнение проектных и изыскательских работ.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 - Методика №620) 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РФ от 1 октября 2021 г. N 707/пр. (далее – Методика №707) не противоречащим положениям Методики №620 и Справочникам базовых цен (далее – СБЦ) на проектные работы в строительстве . 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fill="auto" w:val="clear"/>
        </w:rPr>
        <w:t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</w:t>
      </w:r>
      <w:r>
        <w:rPr>
          <w:rFonts w:ascii="Times New Roman" w:hAnsi="Times New Roman"/>
          <w:sz w:val="24"/>
          <w:szCs w:val="24"/>
        </w:rPr>
        <w:t xml:space="preserve">ьмом Госстроя России от 31.03.2004 № НЗ-2078/10 и внесенного в ФРСН нормативов или иного актуального документа.  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  <w:sz w:val="24"/>
          <w:szCs w:val="24"/>
        </w:rPr>
        <w:t>по согласованию с Заказчиком</w:t>
      </w:r>
      <w:r>
        <w:rPr>
          <w:rFonts w:ascii="Times New Roman" w:hAnsi="Times New Roman"/>
          <w:sz w:val="24"/>
          <w:szCs w:val="24"/>
        </w:rPr>
        <w:t xml:space="preserve"> возможно применять следующие коэффициенты в соответствии с письмом ПАО «ПНИИИС» от 03.04.2014 №11/298: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567" w:leader="none"/>
        </w:tabs>
        <w:spacing w:lineRule="auto" w:line="240" w:before="0" w:after="0"/>
        <w:ind w:left="567" w:firstLine="283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1,15 – «при выполнении полевых работ на территориях гидроэлектростанций и ТЭЦ» (п. 8 в Общих указаний) – на всех гидроэлектростанциях и ТЭЦ, кроме станций Северного Кавказа и Амурской области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</w:t>
      </w:r>
      <w:r>
        <w:rPr>
          <w:rFonts w:ascii="Times New Roman" w:hAnsi="Times New Roman"/>
          <w:sz w:val="24"/>
          <w:szCs w:val="24"/>
          <w:shd w:fill="auto" w:val="clear"/>
        </w:rPr>
        <w:t>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 составлении сметной документации на подготовку проектной документации рекомендуется дополнить Технические требования пунктом о составлении проектной организацией Ведомости объемов конструктивных решений (элементов) и комплексов (видов) работ, оборудования.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9"/>
          <w:tab w:val="left" w:pos="1134" w:leader="none"/>
        </w:tabs>
        <w:spacing w:before="40" w:after="40"/>
        <w:ind w:left="0"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В сметных расчетах допускается использовать прогнозные индексы-дефляторы в соответствии с текущим прогнозом Министерства экономического развития РФ по строке ИПЦ (индекс потребительских цен), в среднем за год, вариант – базовый (указать реквизиты приказа при формировании ТТ) в размере … (указать размер применяемых индексов-дефляторов). </w:t>
      </w:r>
    </w:p>
    <w:p>
      <w:pPr>
        <w:pStyle w:val="ConsPlusNormal1"/>
        <w:widowControl/>
        <w:tabs>
          <w:tab w:val="clear" w:pos="709"/>
          <w:tab w:val="left" w:pos="1134" w:leader="none"/>
        </w:tabs>
        <w:spacing w:before="40" w:after="40"/>
        <w:ind w:left="567" w:hanging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Стоимость работ определяется по формуле: </w:t>
      </w:r>
    </w:p>
    <w:p>
      <w:pPr>
        <w:pStyle w:val="ConsPlusNormal1"/>
        <w:spacing w:before="40" w:after="40"/>
        <w:ind w:firstLine="1276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  </w:t>
      </w:r>
      <w:r>
        <w:rPr>
          <w:shd w:fill="auto" w:val="clear"/>
        </w:rPr>
      </w:r>
      <m:oMath xmlns:m="http://schemas.openxmlformats.org/officeDocument/2006/math">
        <m:r>
          <w:rPr>
            <w:rFonts w:ascii="Cambria Math" w:hAnsi="Cambria Math"/>
          </w:rPr>
          <m:t xml:space="preserve">Цд</m:t>
        </m:r>
        <m:r>
          <w:rPr>
            <w:rFonts w:ascii="Cambria Math" w:hAnsi="Cambria Math"/>
          </w:rPr>
          <m:t xml:space="preserve">=</m:t>
        </m:r>
        <m:r>
          <w:rPr>
            <w:rFonts w:ascii="Cambria Math" w:hAnsi="Cambria Math"/>
          </w:rPr>
          <m:t xml:space="preserve">С</m:t>
        </m:r>
        <m:r>
          <w:rPr>
            <w:rFonts w:ascii="Cambria Math" w:hAnsi="Cambria Math"/>
          </w:rPr>
          <m:t xml:space="preserve">∗</m:t>
        </m:r>
        <m:r>
          <w:rPr>
            <w:rFonts w:ascii="Cambria Math" w:hAnsi="Cambria Math"/>
          </w:rPr>
          <m:t xml:space="preserve">Иинфл</m:t>
        </m:r>
        <m:d>
          <m:dPr>
            <m:begChr m:val="("/>
            <m:endChr m:val=")"/>
          </m:dPr>
          <m:e>
            <m:r>
              <w:rPr>
                <w:rFonts w:ascii="Cambria Math" w:hAnsi="Cambria Math"/>
              </w:rPr>
              <m:t xml:space="preserve">1</m:t>
            </m:r>
          </m:e>
        </m:d>
      </m:oMath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где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Цд – стоимость договора;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С - сметная стоимость подрядных работ, подлежащих выполнению подрядчиком; </w:t>
      </w:r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Иинф – индекс инфляции, рассчитываемый как среднее арифметическое значение между индексами прогнозной инфляции на даты начала и окончания работ. При расчете индекса прогнозной инфляции определение периода выполнения работ осуществляется исходя из продолжительности, установленной заказчиком в задании на выполнение проектных и изыскательских работ.</w:t>
      </w:r>
    </w:p>
    <w:p>
      <w:pPr>
        <w:pStyle w:val="ConsPlusNormal1"/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В случае, если срок выполнения работ превышает календарный год, то индекс инфляции определяется по формуле: </w:t>
      </w:r>
    </w:p>
    <w:p>
      <w:pPr>
        <w:pStyle w:val="ConsPlusNormal1"/>
        <w:widowControl/>
        <w:spacing w:before="40" w:after="40"/>
        <w:ind w:firstLine="426"/>
        <w:jc w:val="center"/>
        <w:rPr>
          <w:highlight w:val="none"/>
          <w:shd w:fill="auto" w:val="clear"/>
        </w:rPr>
      </w:pPr>
      <w:r>
        <w:rPr>
          <w:shd w:fill="auto" w:val="clear"/>
        </w:rPr>
      </w:r>
      <m:oMathPara xmlns:m="http://schemas.openxmlformats.org/officeDocument/2006/math">
        <m:oMathParaPr>
          <m:jc m:val="center"/>
        </m:oMathParaPr>
        <m:oMath>
          <m:r>
            <w:rPr>
              <w:rFonts w:ascii="Cambria Math" w:hAnsi="Cambria Math"/>
            </w:rPr>
            <m:t xml:space="preserve">И</m:t>
          </m:r>
          <m:r>
            <w:rPr>
              <w:rFonts w:ascii="Cambria Math" w:hAnsi="Cambria Math"/>
            </w:rPr>
            <m:t xml:space="preserve">инф</m:t>
          </m:r>
          <m:r>
            <w:rPr>
              <w:rFonts w:ascii="Cambria Math" w:hAnsi="Cambria Math"/>
            </w:rPr>
            <m:t xml:space="preserve">=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1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2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...</m:t>
          </m:r>
          <m:r>
            <w:rPr>
              <w:rFonts w:ascii="Cambria Math" w:hAnsi="Cambria Math"/>
            </w:rPr>
            <m:t xml:space="preserve">+</m:t>
          </m:r>
          <m:r>
            <w:rPr>
              <w:rFonts w:ascii="Cambria Math" w:hAnsi="Cambria Math"/>
            </w:rPr>
            <m:t xml:space="preserve">Д</m:t>
          </m:r>
          <m:r>
            <w:rPr>
              <w:rFonts w:ascii="Cambria Math" w:hAnsi="Cambria Math"/>
            </w:rPr>
            <m:t xml:space="preserve">i</m:t>
          </m:r>
          <m:r>
            <w:rPr>
              <w:rFonts w:ascii="Cambria Math" w:hAnsi="Cambria Math"/>
            </w:rPr>
            <m:t xml:space="preserve">∗</m:t>
          </m:r>
          <m:r>
            <w:rPr>
              <w:rFonts w:ascii="Cambria Math" w:hAnsi="Cambria Math"/>
            </w:rPr>
            <m:t xml:space="preserve">К</m:t>
          </m:r>
          <m:r>
            <w:rPr>
              <w:rFonts w:ascii="Cambria Math" w:hAnsi="Cambria Math"/>
            </w:rPr>
            <m:t xml:space="preserve">i</m:t>
          </m:r>
          <m:d>
            <m:dPr>
              <m:begChr m:val="("/>
              <m:endChr m:val=")"/>
            </m:dPr>
            <m:e>
              <m:r>
                <w:rPr>
                  <w:rFonts w:ascii="Cambria Math" w:hAnsi="Cambria Math"/>
                </w:rPr>
                <m:t xml:space="preserve">2</m:t>
              </m:r>
            </m:e>
          </m:d>
        </m:oMath>
      </m:oMathPara>
    </w:p>
    <w:p>
      <w:pPr>
        <w:pStyle w:val="ConsPlusNormal1"/>
        <w:widowControl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где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Д1,Д2,Д</w:t>
      </w:r>
      <w:r>
        <w:rPr>
          <w:color w:val="000000"/>
          <w:shd w:fill="auto" w:val="clear"/>
          <w:lang w:val="en-US"/>
        </w:rPr>
        <w:t>i</w:t>
      </w:r>
      <w:r>
        <w:rPr>
          <w:color w:val="000000"/>
          <w:shd w:fill="auto" w:val="clear"/>
        </w:rPr>
        <w:t xml:space="preserve"> - доля сметной стоимости работ, подлежащих выполнению соответственно в 1-й, 2-й, 3-й, i-ый годы строительства;</w:t>
      </w:r>
      <w:bookmarkStart w:id="5" w:name="l170"/>
      <w:bookmarkEnd w:id="5"/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i - год завершения строительства объекта;</w:t>
      </w:r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К1 - индекс прогнозной инфляции за первый год строительства объекта, определяемый как среднее арифметическое между индексом прогнозной инфляции на дату начала строительства объекта и индексом прогнозной инфляции на декабрь первого года строительства объекта;</w:t>
      </w:r>
      <w:bookmarkStart w:id="6" w:name="l38"/>
      <w:bookmarkEnd w:id="6"/>
    </w:p>
    <w:p>
      <w:pPr>
        <w:pStyle w:val="Dt-p"/>
        <w:shd w:val="clear" w:color="auto" w:fill="FFFFFF"/>
        <w:spacing w:beforeAutospacing="0" w:before="0" w:afterAutospacing="0" w:after="0"/>
        <w:ind w:firstLine="567"/>
        <w:jc w:val="both"/>
        <w:textAlignment w:val="baseline"/>
        <w:rPr>
          <w:highlight w:val="none"/>
          <w:shd w:fill="auto" w:val="clear"/>
        </w:rPr>
      </w:pPr>
      <w:r>
        <w:rPr>
          <w:color w:val="000000"/>
          <w:shd w:fill="auto" w:val="clear"/>
        </w:rPr>
        <w:t>К2 - индекс прогнозной инфляции, учитывающий инфляцию за первый и второй годы строительства объекта. Рассчитывается как произведение индекса прогнозной инфляции, устанавливаемого нарастающим итогом на декабрь первого года строительства объекта, и индекса прогнозной инфляции на второй год строительства объекта, определенного как среднее арифметическое между индексом прогнозной инфляции на январь второго года строительства объекта и индекса прогнозной инфляции на декабрь второго года строительства объекта;</w:t>
      </w:r>
      <w:bookmarkStart w:id="7" w:name="l171"/>
      <w:bookmarkStart w:id="8" w:name="l39"/>
      <w:bookmarkEnd w:id="7"/>
      <w:bookmarkEnd w:id="8"/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>К3 - индекс прогнозной инфляции, учитывающий инфляцию за весь период строительства объекта. Указанный индекс рассчитывается как произведение индекса прогнозной инфляции, устанавливаемого нарастающим итогом на декабрь предшествующего года строительства объекта, и индекса прогнозной инфляции на последний год строительства объекта, определенного как среднее арифметическое между индексом прогнозной инфляции на январь последнего года строительства объекта и индексом прогнозной инфляции на дату окончания строительства объекта в последнем году.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При этом:</w:t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1) если срок выполнения работ указан в целом по договору (дата начала работ – дата окончание работ), применяется единый дефлятор, в соответствии с формулой (1)</w:t>
      </w:r>
    </w:p>
    <w:p>
      <w:pPr>
        <w:pStyle w:val="ConsPlusNormal1"/>
        <w:spacing w:before="40" w:after="40"/>
        <w:ind w:firstLine="567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2) если договором предусмотрен график выполнения работ с разбивкой на этапы (дата начала работ по этапу – дата окончания работ по этапу), дефлятор применяется в соответствии с таким графиком, и рассчитывается на каждый этап, в соответствии с формулой (2).</w:t>
      </w:r>
    </w:p>
    <w:p>
      <w:pPr>
        <w:pStyle w:val="ConsPlusNormal1"/>
        <w:widowControl/>
        <w:spacing w:before="40" w:after="4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none"/>
          <w:shd w:fill="auto" w:val="clear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shd w:fill="auto" w:val="clear"/>
        </w:rPr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Методики №620, либо по нормативному акту, пришедшему на смену данному документу.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работ, цены на которые отсутствуют в МНЗ и СБЦ, внесенных в </w:t>
      </w:r>
      <w:r>
        <w:rPr>
          <w:rFonts w:cs="Times New Roman" w:ascii="Times New Roman" w:hAnsi="Times New Roman"/>
          <w:sz w:val="24"/>
          <w:szCs w:val="24"/>
        </w:rPr>
        <w:t>ФРСН</w:t>
      </w:r>
      <w:r>
        <w:rPr>
          <w:rFonts w:ascii="Times New Roman" w:hAnsi="Times New Roman"/>
          <w:sz w:val="24"/>
          <w:szCs w:val="24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9">
        <w:r>
          <w:rPr>
            <w:rStyle w:val="Hyperlink"/>
            <w:rFonts w:ascii="Times New Roman" w:hAnsi="Times New Roman"/>
            <w:sz w:val="24"/>
            <w:szCs w:val="24"/>
          </w:rPr>
          <w:t>3п</w:t>
        </w:r>
      </w:hyperlink>
      <w:r>
        <w:rPr>
          <w:rFonts w:ascii="Times New Roman" w:hAnsi="Times New Roman"/>
          <w:sz w:val="24"/>
          <w:szCs w:val="24"/>
        </w:rPr>
        <w:t>) по согласованию с Заказчиком.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>
      <w:pPr>
        <w:pStyle w:val="ConsPlusNormal1"/>
        <w:widowControl/>
        <w:numPr>
          <w:ilvl w:val="0"/>
          <w:numId w:val="9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Сметы на ПИР предоставляются в форматах: «Excel» и «</w:t>
      </w:r>
      <w:r>
        <w:rPr>
          <w:rFonts w:cs="Times New Roman" w:ascii="Times New Roman" w:hAnsi="Times New Roman"/>
          <w:sz w:val="24"/>
          <w:szCs w:val="24"/>
          <w:lang w:val="en-US"/>
        </w:rPr>
        <w:t>pdf</w:t>
      </w:r>
      <w:r>
        <w:rPr>
          <w:rFonts w:cs="Times New Roman" w:ascii="Times New Roman" w:hAnsi="Times New Roman"/>
          <w:sz w:val="24"/>
          <w:szCs w:val="24"/>
        </w:rPr>
        <w:t>» (с подписями и печатью). Сметная документация в формате «Exce</w:t>
      </w:r>
      <w:r>
        <w:rPr>
          <w:rFonts w:cs="Times New Roman" w:ascii="Times New Roman" w:hAnsi="Times New Roman"/>
          <w:sz w:val="24"/>
          <w:szCs w:val="24"/>
          <w:lang w:val="en-US"/>
        </w:rPr>
        <w:t>l</w:t>
      </w:r>
      <w:r>
        <w:rPr>
          <w:rFonts w:cs="Times New Roman" w:ascii="Times New Roman" w:hAnsi="Times New Roman"/>
          <w:sz w:val="24"/>
          <w:szCs w:val="24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вычислений </w:t>
      </w:r>
      <w:r>
        <w:rPr>
          <w:rFonts w:cs="Times New Roman" w:ascii="Times New Roman" w:hAnsi="Times New Roman"/>
          <w:sz w:val="24"/>
          <w:szCs w:val="24"/>
        </w:rPr>
        <w:t xml:space="preserve">(построчные) </w:t>
      </w:r>
      <w:r>
        <w:rPr>
          <w:rFonts w:ascii="Times New Roman" w:hAnsi="Times New Roman"/>
          <w:sz w:val="24"/>
          <w:szCs w:val="24"/>
        </w:rPr>
        <w:t xml:space="preserve">и итоговые данные в </w:t>
      </w:r>
      <w:r>
        <w:rPr>
          <w:rFonts w:cs="Times New Roman" w:ascii="Times New Roman" w:hAnsi="Times New Roman"/>
          <w:sz w:val="24"/>
          <w:szCs w:val="24"/>
        </w:rPr>
        <w:t>ЛСР (ЛС), приводятся в рублях,</w:t>
      </w:r>
    </w:p>
    <w:p>
      <w:pPr>
        <w:pStyle w:val="ConsPlusNormal1"/>
        <w:numPr>
          <w:ilvl w:val="0"/>
          <w:numId w:val="10"/>
        </w:numPr>
        <w:tabs>
          <w:tab w:val="clear" w:pos="709"/>
          <w:tab w:val="left" w:pos="567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базисно-индексном методе, с округлением до двух знаков после запятой (до копеек);</w:t>
      </w:r>
    </w:p>
    <w:p>
      <w:pPr>
        <w:pStyle w:val="ConsPlusNormal1"/>
        <w:numPr>
          <w:ilvl w:val="0"/>
          <w:numId w:val="10"/>
        </w:numPr>
        <w:tabs>
          <w:tab w:val="clear" w:pos="709"/>
          <w:tab w:val="left" w:pos="567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 ресурсно-индексном и ресурсным методах, а также сметных расчетах на отдельные виды затрат - с округлением до целых единиц;</w:t>
      </w:r>
    </w:p>
    <w:p>
      <w:pPr>
        <w:pStyle w:val="ConsPlusNormal1"/>
        <w:numPr>
          <w:ilvl w:val="0"/>
          <w:numId w:val="10"/>
        </w:numPr>
        <w:tabs>
          <w:tab w:val="clear" w:pos="709"/>
          <w:tab w:val="left" w:pos="567" w:leader="none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сводной смете - в рублях с округлением до целых единиц. 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eastAsia="Geneva" w:cs="" w:cstheme="minorBidi"/>
          <w:sz w:val="24"/>
          <w:szCs w:val="24"/>
          <w:lang w:eastAsia="en-US"/>
        </w:rPr>
      </w:pPr>
      <w:r>
        <w:rPr>
          <w:rFonts w:eastAsia="Geneva" w:cs="" w:ascii="Times New Roman" w:hAnsi="Times New Roman" w:cstheme="minorBidi"/>
          <w:sz w:val="24"/>
          <w:szCs w:val="24"/>
          <w:lang w:eastAsia="en-US"/>
        </w:rPr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 </w:t>
      </w:r>
      <w:r>
        <w:rPr>
          <w:rFonts w:cs="Times New Roman" w:ascii="Times New Roman" w:hAnsi="Times New Roman"/>
          <w:color w:val="000000"/>
          <w:sz w:val="24"/>
          <w:szCs w:val="24"/>
          <w:u w:val="single"/>
        </w:rPr>
        <w:t>не более</w:t>
      </w:r>
      <w:r>
        <w:rPr>
          <w:rFonts w:eastAsia="Geneva" w:cs="" w:ascii="Times New Roman" w:hAnsi="Times New Roman" w:cstheme="minorBidi"/>
          <w:sz w:val="24"/>
          <w:szCs w:val="24"/>
          <w:lang w:eastAsia="en-US"/>
        </w:rPr>
        <w:t>:</w:t>
      </w:r>
    </w:p>
    <w:p>
      <w:pPr>
        <w:pStyle w:val="ListParagraph"/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суточные - 700 руб./сутки;</w:t>
      </w:r>
    </w:p>
    <w:p>
      <w:pPr>
        <w:pStyle w:val="ListParagraph"/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проживание – 5000 руб./сутки;</w:t>
      </w:r>
    </w:p>
    <w:p>
      <w:pPr>
        <w:pStyle w:val="ListParagraph"/>
        <w:tabs>
          <w:tab w:val="clear" w:pos="709"/>
          <w:tab w:val="left" w:pos="851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Geneva"/>
          <w:sz w:val="24"/>
          <w:szCs w:val="24"/>
        </w:rPr>
      </w:pPr>
      <w:r>
        <w:rPr>
          <w:rFonts w:eastAsia="Geneva" w:ascii="Times New Roman" w:hAnsi="Times New Roman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ConsPlusNormal1"/>
        <w:numPr>
          <w:ilvl w:val="0"/>
          <w:numId w:val="9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>
      <w:pPr>
        <w:sectPr>
          <w:footerReference w:type="default" r:id="rId10"/>
          <w:footerReference w:type="first" r:id="rId11"/>
          <w:footnotePr>
            <w:numFmt w:val="decimal"/>
            <w:numRestart w:val="eachSect"/>
          </w:footnotePr>
          <w:type w:val="nextPage"/>
          <w:pgSz w:w="11906" w:h="16838"/>
          <w:pgMar w:left="1276" w:right="707" w:gutter="0" w:header="0" w:top="851" w:footer="709" w:bottom="766"/>
          <w:pgNumType w:fmt="decimal"/>
          <w:formProt w:val="false"/>
          <w:textDirection w:val="lrTb"/>
          <w:docGrid w:type="default" w:linePitch="360" w:charSpace="0"/>
        </w:sectPr>
        <w:pStyle w:val="ConsPlusNormal1"/>
        <w:numPr>
          <w:ilvl w:val="0"/>
          <w:numId w:val="9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>
        <w:rPr>
          <w:rFonts w:ascii="Times New Roman" w:hAnsi="Times New Roman"/>
          <w:color w:val="000000"/>
          <w:sz w:val="24"/>
          <w:szCs w:val="24"/>
        </w:rPr>
        <w:t>главу 1 ССРСС.</w:t>
      </w:r>
      <w:r>
        <w:rPr>
          <w:rFonts w:ascii="Times New Roman" w:hAnsi="Times New Roman"/>
          <w:sz w:val="24"/>
          <w:szCs w:val="24"/>
        </w:rPr>
        <w:t xml:space="preserve"> Стоимость данных работ не включается в расчет стоимости проведения государственной экспертизы.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1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при составлении смет на ПИР.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bookmarkStart w:id="9" w:name="RANGE!A1%253AD25"/>
      <w:bookmarkEnd w:id="9"/>
      <w:r>
        <w:rPr>
          <w:rFonts w:ascii="Times New Roman" w:hAnsi="Times New Roman"/>
          <w:color w:val="000000"/>
          <w:sz w:val="24"/>
          <w:szCs w:val="24"/>
        </w:rPr>
        <w:t>При составлении калькуляции затрат (форма №3п), разработанным организацией, выполняющей ПИР, Заказчику предоставляется обоснование расчета. Сметные расчеты составляются в ценах текущего периода.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Калькуляцией затрат (форма №3п) рекомендуется определять стоимость работ, цены на которые отсутствуют в МНЗ и СБЦ, внесенных в ФРСН.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Стоимость работ и расходов в соответствии с калькуляцией затрат определяется согласно положениям Методики №707 с учетом следующего:</w:t>
      </w:r>
    </w:p>
    <w:p>
      <w:pPr>
        <w:pStyle w:val="ConsPlusNormal1"/>
        <w:numPr>
          <w:ilvl w:val="1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Стоимость проектных работ и расходов (</w:t>
      </w: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</w:rPr>
        <w:t>) в соответствии с калькуляцией затрат определяется по формуле:</w:t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hanging="0"/>
        <w:jc w:val="center"/>
        <w:rPr>
          <w:rFonts w:ascii="Times New Roman" w:hAnsi="Times New Roman" w:cs="Times New Roman"/>
          <w:i/>
          <w:i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С</m:t>
              </m:r>
            </m:e>
            <m:sub>
              <m:r>
                <w:rPr>
                  <w:rFonts w:ascii="Cambria Math" w:hAnsi="Cambria Math"/>
                </w:rPr>
                <m:t xml:space="preserve">пр</m:t>
              </m:r>
            </m:sub>
          </m:sSub>
          <m:r>
            <w:rPr>
              <w:rFonts w:ascii="Cambria Math" w:hAnsi="Cambria Math"/>
            </w:rPr>
            <m:t xml:space="preserve">=</m:t>
          </m:r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Т</m:t>
              </m:r>
            </m:e>
            <m:sub>
              <m:r>
                <w:rPr>
                  <w:rFonts w:ascii="Cambria Math" w:hAnsi="Cambria Math"/>
                </w:rPr>
                <m:t xml:space="preserve">п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Ч</m:t>
              </m:r>
            </m:e>
            <m:sub>
              <m:r>
                <w:rPr>
                  <w:rFonts w:ascii="Cambria Math" w:hAnsi="Cambria Math"/>
                </w:rPr>
                <m:t xml:space="preserve">общ</m:t>
              </m:r>
            </m:sub>
          </m:sSub>
          <m:r>
            <w:rPr>
              <w:rFonts w:ascii="Cambria Math" w:hAnsi="Cambria Math"/>
            </w:rPr>
            <m:t xml:space="preserve">×</m:t>
          </m:r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Спр</m:t>
        </m:r>
      </m:oMath>
      <w:r>
        <w:rPr>
          <w:rFonts w:cs="Times New Roman" w:ascii="Times New Roman" w:hAnsi="Times New Roman"/>
          <w:sz w:val="24"/>
          <w:szCs w:val="24"/>
          <w:vertAlign w:val="subscript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стоимость проектных работ, определенная в соответствии с калькуляцией затрат,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Вср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выработка одного непосредственного исполнителя, рублей;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Тп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плановая продолжительность выполнения проектных работ, предусмотренных калькуляцией затрат, дни;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Чобщ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общая численность непосредственных исполнителей-проектировщиков, занятых в выполнении проектных работ, предусмотренных калькуляцией затрат,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m:rPr>
            <m:lit/>
            <m:nor/>
          </m:rPr>
          <w:rPr>
            <w:rFonts w:ascii="Cambria Math" w:hAnsi="Cambria Math"/>
          </w:rPr>
          <m:t xml:space="preserve">Ккв-уч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корректирующий коэффициент, учитывающий степень участия исполнителей различной квалификации в выполнении проектных работ, предусмотренных калькуляцией затрат (далее - коэффициент квалификации-участия);</w:t>
      </w:r>
    </w:p>
    <w:p>
      <w:pPr>
        <w:pStyle w:val="ConsPlusNormal1"/>
        <w:numPr>
          <w:ilvl w:val="1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среднедневная выработка (</w:t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В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>)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9"/>
          <w:tab w:val="left" w:pos="0" w:leader="none"/>
          <w:tab w:val="left" w:pos="1134" w:leader="none"/>
        </w:tabs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В</m:t>
              </m:r>
            </m:e>
            <m:sub>
              <m:r>
                <w:rPr>
                  <w:rFonts w:ascii="Cambria Math" w:hAnsi="Cambria Math"/>
                </w:rPr>
                <m:t xml:space="preserve">ср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sSub>
                <m:e>
                  <m:r>
                    <w:rPr>
                      <w:rFonts w:ascii="Cambria Math" w:hAnsi="Cambria Math"/>
                    </w:rPr>
                    <m:t xml:space="preserve">ЗП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ср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d>
                <m:dPr>
                  <m:begChr m:val="("/>
                  <m:endChr m:val=")"/>
                </m:dPr>
                <m:e>
                  <m:r>
                    <w:rPr>
                      <w:rFonts w:ascii="Cambria Math" w:hAnsi="Cambria Math"/>
                    </w:rPr>
                    <m:t xml:space="preserve">1</m:t>
                  </m:r>
                  <m:r>
                    <w:rPr>
                      <w:rFonts w:ascii="Cambria Math" w:hAnsi="Cambria Math"/>
                    </w:rPr>
                    <m:t xml:space="preserve">+</m:t>
                  </m:r>
                  <m:r>
                    <w:rPr>
                      <w:rFonts w:ascii="Cambria Math" w:hAnsi="Cambria Math"/>
                    </w:rPr>
                    <m:t xml:space="preserve">Р</m:t>
                  </m:r>
                </m:e>
              </m:d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К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з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коэффициент уровня рентабельности (сметной прибыли), принимается Р = 0,1 (1%) согласно </w:t>
      </w:r>
      <w:hyperlink w:anchor="P1643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таблице 1.2</w:t>
        </w:r>
      </w:hyperlink>
      <w:r>
        <w:rPr>
          <w:rFonts w:cs="Times New Roman" w:ascii="Times New Roman" w:hAnsi="Times New Roman"/>
          <w:sz w:val="24"/>
          <w:szCs w:val="24"/>
        </w:rPr>
        <w:t>, приведенной в приложении N 2 к Методике №707;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ЗП</m:t>
        </m:r>
        <m:r>
          <m:rPr>
            <m:lit/>
            <m:nor/>
          </m:rPr>
          <w:rPr>
            <w:rFonts w:ascii="Cambria Math" w:hAnsi="Cambria Math"/>
          </w:rPr>
          <m:t xml:space="preserve">ср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среднедневная заработная плата, тыс. руб. Принимается по данным Росстата о среднемесячной номинальной начисленной заработной плате работающих в экономике, по видам экономической деятельности в Российской Федерации для деятельности в области архитектуры (</w:t>
      </w:r>
      <w:hyperlink r:id="rId12">
        <w:r>
          <w:rPr>
            <w:rStyle w:val="Hyperlink"/>
            <w:rFonts w:cs="Times New Roman" w:ascii="Times New Roman" w:hAnsi="Times New Roman"/>
            <w:sz w:val="24"/>
            <w:szCs w:val="24"/>
          </w:rPr>
          <w:t>код 71.11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"Общероссийский классификатор видов экономической деятельности" (далее - Общероссийский классификатор) за год, предшествующий году определения сметной стоимости объекта проектирования (среднее значение за период январь - декабрь), исходя из усредненного на основании производственного календаря количества рабочих дней в месяце для года, предшествующего году оп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ределения сметной стоимости проектных работ и с учетом Классификатора объектов административно-территориального деления (ОКАТО) Проектной организации. Для работ по проектированию объектов, являющихся особо опасными, технически сложными, уникальны</w:t>
      </w:r>
      <w:r>
        <w:rPr>
          <w:rFonts w:cs="Times New Roman" w:ascii="Times New Roman" w:hAnsi="Times New Roman"/>
          <w:sz w:val="24"/>
          <w:szCs w:val="24"/>
        </w:rPr>
        <w:t xml:space="preserve">ми объектами согласно </w:t>
      </w:r>
      <w:hyperlink r:id="rId13">
        <w:r>
          <w:rPr>
            <w:rStyle w:val="Hyperlink"/>
            <w:rFonts w:cs="Times New Roman" w:ascii="Times New Roman" w:hAnsi="Times New Roman"/>
            <w:sz w:val="24"/>
            <w:szCs w:val="24"/>
          </w:rPr>
          <w:t>статье 48.1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Федерации, а также для работ по подготовке проектной документации, содержащей материалы в форме информационной модели, среднемесячная заработная плата принимается для деятельности в области инженерно-технического проектирования (</w:t>
      </w:r>
      <w:hyperlink r:id="rId14">
        <w:r>
          <w:rPr>
            <w:rStyle w:val="Hyperlink"/>
            <w:rFonts w:cs="Times New Roman" w:ascii="Times New Roman" w:hAnsi="Times New Roman"/>
            <w:sz w:val="24"/>
            <w:szCs w:val="24"/>
          </w:rPr>
          <w:t>код 71.12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согласно ОК 029-2014 (КДЕС ред. 2) Общероссийского классификатора)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9"/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К</m:t>
        </m:r>
        <m:r>
          <w:rPr>
            <w:rFonts w:ascii="Cambria Math" w:hAnsi="Cambria Math"/>
          </w:rPr>
          <m:t xml:space="preserve">з</m:t>
        </m:r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коэффициент, учитывающий долю оплаты труда производственного персонала в себестоимости проектных работ: К3 принимается в размере 40,06%;</w:t>
      </w:r>
    </w:p>
    <w:p>
      <w:pPr>
        <w:pStyle w:val="ConsPlusNormal1"/>
        <w:numPr>
          <w:ilvl w:val="1"/>
          <w:numId w:val="7"/>
        </w:numPr>
        <w:tabs>
          <w:tab w:val="clear" w:pos="709"/>
          <w:tab w:val="left" w:pos="1134" w:leader="none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коэффициент, квалификации-участия (</w:t>
      </w: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К</m:t>
            </m:r>
          </m:e>
          <m:sub>
            <m:r>
              <w:rPr>
                <w:rFonts w:ascii="Cambria Math" w:hAnsi="Cambria Math"/>
              </w:rPr>
              <m:t xml:space="preserve">кв</m:t>
            </m:r>
            <m:r>
              <w:rPr>
                <w:rFonts w:ascii="Cambria Math" w:hAnsi="Cambria Math"/>
              </w:rPr>
              <m:t xml:space="preserve">−</m:t>
            </m:r>
            <m:r>
              <w:rPr>
                <w:rFonts w:ascii="Cambria Math" w:hAnsi="Cambria Math"/>
              </w:rPr>
              <m:t xml:space="preserve">уч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>), определяется по формуле:</w:t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1"/>
        <w:tabs>
          <w:tab w:val="clear" w:pos="709"/>
          <w:tab w:val="left" w:pos="1134" w:leader="none"/>
        </w:tabs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/>
      </w:r>
      <m:oMathPara xmlns:m="http://schemas.openxmlformats.org/officeDocument/2006/math">
        <m:oMathParaPr>
          <m:jc m:val="center"/>
        </m:oMathParaPr>
        <m:oMath>
          <m:sSub>
            <m:e>
              <m:r>
                <w:rPr>
                  <w:rFonts w:ascii="Cambria Math" w:hAnsi="Cambria Math"/>
                </w:rPr>
                <m:t xml:space="preserve">К</m:t>
              </m:r>
            </m:e>
            <m:sub>
              <m:r>
                <w:rPr>
                  <w:rFonts w:ascii="Cambria Math" w:hAnsi="Cambria Math"/>
                </w:rPr>
                <m:t xml:space="preserve">кв</m:t>
              </m:r>
              <m:r>
                <w:rPr>
                  <w:rFonts w:ascii="Cambria Math" w:hAnsi="Cambria Math"/>
                </w:rPr>
                <m:t xml:space="preserve">−</m:t>
              </m:r>
              <m:r>
                <w:rPr>
                  <w:rFonts w:ascii="Cambria Math" w:hAnsi="Cambria Math"/>
                </w:rPr>
                <m:t xml:space="preserve">уч</m:t>
              </m:r>
            </m:sub>
          </m:sSub>
          <m:r>
            <w:rPr>
              <w:rFonts w:ascii="Cambria Math" w:hAnsi="Cambria Math"/>
            </w:rPr>
            <m:t xml:space="preserve">=</m:t>
          </m:r>
          <m:f>
            <m:num>
              <m:nary>
                <m:naryPr>
                  <m:chr m:val="∑"/>
                </m:naryPr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  <m:r>
                    <w:rPr>
                      <w:rFonts w:ascii="Cambria Math" w:hAnsi="Cambria Math"/>
                    </w:rPr>
                    <m:t xml:space="preserve">=</m:t>
                  </m:r>
                  <m:r>
                    <w:rPr>
                      <w:rFonts w:ascii="Cambria Math" w:hAnsi="Cambria Math"/>
                    </w:rPr>
                    <m:t xml:space="preserve">1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n</m:t>
                  </m:r>
                </m:sup>
                <m:e>
                  <m:f>
                    <m:num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ф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i</m:t>
                          </m:r>
                        </m:sub>
                      </m:sSub>
                    </m:num>
                    <m:den>
                      <m:sSub>
                        <m:e>
                          <m:r>
                            <w:rPr>
                              <w:rFonts w:ascii="Cambria Math" w:hAnsi="Cambria Math"/>
                            </w:rPr>
                            <m:t xml:space="preserve">Т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 xml:space="preserve">общ</m:t>
                          </m:r>
                        </m:sub>
                      </m:sSub>
                    </m:den>
                  </m:f>
                </m:e>
              </m:nary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  <m:r>
                <w:rPr>
                  <w:rFonts w:ascii="Cambria Math" w:hAnsi="Cambria Math"/>
                </w:rPr>
                <m:t xml:space="preserve">×</m:t>
              </m:r>
              <m:sSub>
                <m:e>
                  <m:r>
                    <w:rPr>
                      <w:rFonts w:ascii="Cambria Math" w:hAnsi="Cambria Math"/>
                    </w:rPr>
                    <m:t xml:space="preserve">И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</m:t>
                  </m:r>
                </m:sub>
              </m:sSub>
            </m:num>
            <m:den>
              <m:sSub>
                <m:e>
                  <m:r>
                    <w:rPr>
                      <w:rFonts w:ascii="Cambria Math" w:hAnsi="Cambria Math"/>
                    </w:rPr>
                    <m:t xml:space="preserve">Ч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общ</m:t>
                  </m:r>
                </m:sub>
              </m:sSub>
            </m:den>
          </m:f>
        </m:oMath>
      </m:oMathPara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где: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И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- индекс квалификации непосредственных исполнителей согласно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таблицам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, приведенным в приложении N 2 к Методике №707. Для отдельных отраслей индексы, приведенные в </w:t>
      </w:r>
      <w:hyperlink w:anchor="P1654">
        <w:r>
          <w:rPr>
            <w:rStyle w:val="Hyperlink"/>
            <w:rFonts w:cs="Times New Roman" w:ascii="Times New Roman" w:hAnsi="Times New Roman"/>
            <w:sz w:val="24"/>
            <w:szCs w:val="24"/>
          </w:rPr>
          <w:t>таблицах 1.3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- </w:t>
      </w:r>
      <w:hyperlink w:anchor="P1701">
        <w:r>
          <w:rPr>
            <w:rStyle w:val="Hyperlink"/>
            <w:rFonts w:cs="Times New Roman" w:ascii="Times New Roman" w:hAnsi="Times New Roman"/>
            <w:sz w:val="24"/>
            <w:szCs w:val="24"/>
          </w:rPr>
          <w:t>1.4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приложения N 2 к Методике №707, подлежат уточнению при предоставлении соответствующих обоснований (бухгалтерских справок и аналогичных документов), документально подтвержденных уполномоченными лицами проектной организации;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Ч</m:t>
            </m:r>
          </m:e>
          <m:sub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численность исполнителей одинаковой квалификации, чел.;</w:t>
      </w:r>
    </w:p>
    <w:p>
      <w:pPr>
        <w:pStyle w:val="ConsPlusNormal1"/>
        <w:tabs>
          <w:tab w:val="clear" w:pos="709"/>
          <w:tab w:val="left" w:pos="1134" w:leader="none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  <m:oMath xmlns:m="http://schemas.openxmlformats.org/officeDocument/2006/math">
        <m:sSub>
          <m:e>
            <m:r>
              <w:rPr>
                <w:rFonts w:ascii="Cambria Math" w:hAnsi="Cambria Math"/>
              </w:rPr>
              <m:t xml:space="preserve">T</m:t>
            </m:r>
          </m:e>
          <m:sub>
            <m:r>
              <w:rPr>
                <w:rFonts w:ascii="Cambria Math" w:hAnsi="Cambria Math"/>
              </w:rPr>
              <m:t xml:space="preserve">ф</m:t>
            </m:r>
            <m:r>
              <w:rPr>
                <w:rFonts w:ascii="Cambria Math" w:hAnsi="Cambria Math"/>
              </w:rPr>
              <m:t xml:space="preserve">i</m:t>
            </m:r>
          </m:sub>
        </m:sSub>
      </m:oMath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- фактическое время работы исполнителей одинаковой квалификации, дни.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Численность и должностные категории (квалификация) исполнителей, фактическое время работы исполнителей одинаковой квалификации определяются на основании положений документов по стандартизации согласно </w:t>
      </w:r>
      <w:hyperlink r:id="rId15">
        <w:r>
          <w:rPr>
            <w:rStyle w:val="Hyperlink"/>
            <w:rFonts w:cs="Times New Roman" w:ascii="Times New Roman" w:hAnsi="Times New Roman"/>
            <w:sz w:val="24"/>
            <w:szCs w:val="24"/>
          </w:rPr>
          <w:t>статье 14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Федерального закона от 29 июня 2015 г. N 162-ФЗ "О стандартизации в Российской Федерации" (Собрание законодательства Российской Федерации, 2015, N 27, ст. 3953; 2021, N 1, ст. 62), стандартов процесса подготовки проектной документации согласно </w:t>
      </w:r>
      <w:hyperlink r:id="rId16">
        <w:r>
          <w:rPr>
            <w:rStyle w:val="Hyperlink"/>
            <w:rFonts w:cs="Times New Roman" w:ascii="Times New Roman" w:hAnsi="Times New Roman"/>
            <w:sz w:val="24"/>
            <w:szCs w:val="24"/>
          </w:rPr>
          <w:t>пункту 10 части 8 статьи 55.20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Градостроительного кодекса Российской Федерации (Собрание законодательства Российской Федерации, 2005, N 1, ст. 16; 2018, N 32, ст. 5133), норм проектирования, данных о трудоемкости объектов-аналогов, результатов опроса, проведенного среди не менее трех проектных организаций, специализирующихся на выполнение проектных работ, на которые подготавливается смета, таблиц технологического процесса выполнения проектных работ по объекту, продолжительности выполняемых работ, указанных в календарном плане к договору на выполнение проектных работ, данных о времени и количестве исполнителей определенной ква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лификации, принимающих участие в выполнении проектных работ, которые должны быть подписаны руководителем проектной организации, предоставляющей такие данные, и заверены ее печатью;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sz w:val="24"/>
          <w:szCs w:val="24"/>
          <w:shd w:fill="auto" w:val="clear"/>
        </w:rPr>
        <w:t>Для пересчета стоимости работ в текущий уровень цен применяются соответствующие индексы изменения сметной стоимости, выпущенные письмом Минстроя России, актуальным на момент составления сметной документации, с учетом периода выполнения работ.</w:t>
      </w:r>
    </w:p>
    <w:p>
      <w:pPr>
        <w:pStyle w:val="ConsPlusNormal1"/>
        <w:tabs>
          <w:tab w:val="clear" w:pos="709"/>
          <w:tab w:val="left" w:pos="1134" w:leader="none"/>
        </w:tabs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shd w:fill="auto" w:val="clear"/>
        </w:rPr>
        <w:t>Например, в 1 квартале 2025 года, стоимость проектных работ рассчитывается по калькуляции затрат в уровне цен по состоянию на 31.12.2024 и включается в смету на проектные работы с последующим применением соответствующих индексов изменения</w:t>
      </w:r>
      <w:r>
        <w:rPr>
          <w:rFonts w:cs="Times New Roman" w:ascii="Times New Roman" w:hAnsi="Times New Roman"/>
          <w:i/>
          <w:sz w:val="24"/>
          <w:szCs w:val="24"/>
          <w:highlight w:val="green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shd w:fill="auto" w:val="clear"/>
        </w:rPr>
        <w:t xml:space="preserve">сметной стоимости на 1 квартал 2025 года к уровню цен по состоянию на 01.01.2025, сообщаемых письмом Минстроя России от 01.02.2025г. №5170-ИФ/09. </w:t>
      </w:r>
    </w:p>
    <w:p>
      <w:pPr>
        <w:pStyle w:val="ListParagraph"/>
        <w:numPr>
          <w:ilvl w:val="1"/>
          <w:numId w:val="1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срок проектирования объекта в месяцах не должен превышать нормативные сроки установленные положениями Приказа Минстроя РФ от 15.05.2020г. № 264/пр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 которые устанавливают зависимость срока проектирования объекта в месяцах от его общей площади. </w:t>
      </w:r>
    </w:p>
    <w:p>
      <w:pPr>
        <w:pStyle w:val="Normal"/>
        <w:tabs>
          <w:tab w:val="clear" w:pos="709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объектов, сроки проектирования которых невозможно определить в соответствии с указанным Приказом, допустимо применение иных документов, не противоречащих действующему законодательству.</w:t>
      </w:r>
    </w:p>
    <w:p>
      <w:pPr>
        <w:pStyle w:val="ListParagraph"/>
        <w:numPr>
          <w:ilvl w:val="1"/>
          <w:numId w:val="14"/>
        </w:numPr>
        <w:tabs>
          <w:tab w:val="clear" w:pos="709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проектных работ, определяемых в соответствии с калькуляцией затрат, не учитывает командировочные расходы, непосредственно связанные с проектированием объекта, определяемые дополнительно.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993" w:leader="none"/>
        </w:tabs>
        <w:spacing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обоснования командировочных расходов предоставляется отдельно выполненный расчет (форма 4п)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>
      <w:pPr>
        <w:pStyle w:val="Normal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ConsPlusNormal1"/>
        <w:tabs>
          <w:tab w:val="clear" w:pos="709"/>
          <w:tab w:val="left" w:pos="284" w:leader="none"/>
          <w:tab w:val="left" w:pos="1134" w:leader="none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Лимиты командировочных расходов при производстве ПИР не более: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суточные - 700 руб./сутки;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проживание – 5000 руб./сутки;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851" w:leader="none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проезд: поезд (купе) или самолет (класс–эконом с багажом до 20 (двадцати) кг, ручная кладь до 10 (десяти) кг).</w:t>
      </w:r>
    </w:p>
    <w:p>
      <w:pPr>
        <w:pStyle w:val="ListParagraph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учете командировочных расходов стоимость проезда (авиа-, ж/д, …) определяется </w:t>
      </w:r>
      <w:r>
        <w:rPr>
          <w:rFonts w:eastAsia="Calibri" w:ascii="Times New Roman" w:hAnsi="Times New Roman"/>
          <w:sz w:val="24"/>
          <w:szCs w:val="24"/>
          <w:lang w:eastAsia="en-US"/>
        </w:rPr>
        <w:t>методами, предусмотренными Методикой ПЦ (методы без использования сметных нормативов)</w:t>
      </w:r>
      <w:r>
        <w:rPr>
          <w:rFonts w:ascii="Times New Roman" w:hAnsi="Times New Roman"/>
          <w:sz w:val="24"/>
          <w:szCs w:val="24"/>
        </w:rPr>
        <w:t xml:space="preserve"> . </w:t>
      </w:r>
    </w:p>
    <w:p>
      <w:pPr>
        <w:sectPr>
          <w:footerReference w:type="default" r:id="rId17"/>
          <w:footerReference w:type="first" r:id="rId18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ListParagraph"/>
        <w:tabs>
          <w:tab w:val="clear" w:pos="709"/>
          <w:tab w:val="left" w:pos="1080" w:leader="none"/>
          <w:tab w:val="left" w:pos="1134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Normal"/>
        <w:spacing w:lineRule="auto" w:line="240" w:before="0" w:after="0"/>
        <w:ind w:left="5811" w:right="-2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Приложение № 2</w:t>
      </w:r>
    </w:p>
    <w:p>
      <w:pPr>
        <w:pStyle w:val="Normal"/>
        <w:spacing w:lineRule="auto" w:line="240" w:before="0" w:after="0"/>
        <w:ind w:left="5811" w:right="-2" w:hanging="0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>
      <w:pPr>
        <w:pStyle w:val="Normal"/>
        <w:shd w:val="clear" w:color="auto" w:fill="FFFFFF"/>
        <w:spacing w:lineRule="auto" w:line="240" w:before="0" w:after="0"/>
        <w:ind w:left="720" w:firstLine="284"/>
        <w:contextualSpacing/>
        <w:jc w:val="center"/>
        <w:rPr>
          <w:rFonts w:ascii="Times New Roman" w:hAnsi="Times New Roman"/>
          <w:b/>
          <w:bCs/>
          <w:iCs/>
          <w:spacing w:val="-4"/>
        </w:rPr>
      </w:pPr>
      <w:r>
        <w:rPr>
          <w:rFonts w:ascii="Times New Roman" w:hAnsi="Times New Roman"/>
          <w:b/>
          <w:bCs/>
          <w:iCs/>
          <w:spacing w:val="-4"/>
        </w:rPr>
      </w:r>
    </w:p>
    <w:tbl>
      <w:tblPr>
        <w:tblW w:w="935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356"/>
      </w:tblGrid>
      <w:tr>
        <w:trPr/>
        <w:tc>
          <w:tcPr>
            <w:tcW w:w="935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Образец сметы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основные и дополнительные проектные работы,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 также сопутствующие работы (форма 2п)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СМЕТА №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проектные работы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объекта)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Проектная организация 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 организации)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уровне цен на ___________ 20__ г.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tbl>
            <w:tblPr>
              <w:tblW w:w="9521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noVBand="1" w:val="04a0" w:noHBand="0" w:lastColumn="0" w:firstColumn="1" w:lastRow="0" w:firstRow="1"/>
            </w:tblPr>
            <w:tblGrid>
              <w:gridCol w:w="454"/>
              <w:gridCol w:w="1813"/>
              <w:gridCol w:w="3425"/>
              <w:gridCol w:w="1984"/>
              <w:gridCol w:w="1845"/>
            </w:tblGrid>
            <w:tr>
              <w:trPr/>
              <w:tc>
                <w:tcPr>
                  <w:tcW w:w="4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 пп</w:t>
                  </w:r>
                </w:p>
              </w:tc>
              <w:tc>
                <w:tcPr>
                  <w:tcW w:w="1813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объекта проектирования или вида проектных работ</w:t>
                  </w:r>
                </w:p>
              </w:tc>
              <w:tc>
                <w:tcPr>
                  <w:tcW w:w="3425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Наименование, номера глав, таблиц, параграфов и пунктов МНЗ (СБЦ) на проектные работы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Расчет стоимости</w:t>
                  </w:r>
                </w:p>
              </w:tc>
              <w:tc>
                <w:tcPr>
                  <w:tcW w:w="1845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10" w:name="P3725"/>
                  <w:bookmarkEnd w:id="10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11" w:name="P3726"/>
                  <w:bookmarkEnd w:id="11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12" w:name="P3727"/>
                  <w:bookmarkEnd w:id="12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bookmarkStart w:id="13" w:name="P3728"/>
                  <w:bookmarkEnd w:id="13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13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342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454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5238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без учета НДС</w:t>
                  </w:r>
                </w:p>
              </w:tc>
              <w:tc>
                <w:tcPr>
                  <w:tcW w:w="1984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  <w:tc>
                <w:tcPr>
                  <w:tcW w:w="1845" w:type="dxa"/>
                  <w:tcBorders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87" w:hanging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 w:eastAsia="Calibri" w:eastAsiaTheme="minorHAnsi"/>
                <w:lang w:eastAsia="en-US"/>
              </w:rPr>
            </w:pPr>
            <w:r>
              <w:rPr>
                <w:rFonts w:eastAsia="Calibri" w:eastAsiaTheme="minorHAnsi" w:ascii="Times New Roman" w:hAnsi="Times New Roman"/>
                <w:lang w:eastAsia="en-US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проектной организации 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инженер проекта 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___________________ отдела 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</w:rPr>
              <w:t xml:space="preserve">                             </w:t>
            </w:r>
            <w:r>
              <w:rPr>
                <w:rFonts w:ascii="Times New Roman" w:hAnsi="Times New Roman"/>
                <w:i/>
                <w:iCs/>
              </w:rPr>
              <w:t>(наименование)                            [подпись (инициалы, фамилия)]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  <w:i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Заказчик 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i/>
                <w:i/>
                <w:iCs/>
              </w:rPr>
            </w:pPr>
            <w:bookmarkStart w:id="14" w:name="_Hlk149126469"/>
            <w:r>
              <w:rPr>
                <w:rFonts w:ascii="Times New Roman" w:hAnsi="Times New Roman"/>
                <w:i/>
                <w:iCs/>
              </w:rPr>
              <w:t>[должность, подпись (инициалы, фамилия)]</w:t>
            </w:r>
            <w:bookmarkEnd w:id="14"/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erReference w:type="default" r:id="rId19"/>
          <w:footerReference w:type="first" r:id="rId20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spacing w:lineRule="auto" w:line="240" w:before="0" w:after="0"/>
        <w:ind w:left="5811" w:hanging="0"/>
        <w:contextualSpacing/>
        <w:rPr>
          <w:rFonts w:ascii="Times New Roman" w:hAnsi="Times New Roman"/>
          <w:sz w:val="20"/>
        </w:rPr>
      </w:pPr>
      <w:bookmarkStart w:id="15" w:name="P3816"/>
      <w:bookmarkStart w:id="16" w:name="P3831"/>
      <w:bookmarkStart w:id="17" w:name="P3832"/>
      <w:bookmarkStart w:id="18" w:name="P3833"/>
      <w:bookmarkStart w:id="19" w:name="P3834"/>
      <w:bookmarkStart w:id="20" w:name="P3835"/>
      <w:bookmarkStart w:id="21" w:name="P3836"/>
      <w:bookmarkStart w:id="22" w:name="P3837"/>
      <w:bookmarkStart w:id="23" w:name="P3838"/>
      <w:bookmarkStart w:id="24" w:name="P383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ascii="Times New Roman" w:hAnsi="Times New Roman"/>
          <w:sz w:val="20"/>
        </w:rPr>
        <w:t>Приложение № 3</w:t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229"/>
        <w:gridCol w:w="238"/>
        <w:gridCol w:w="2186"/>
        <w:gridCol w:w="1095"/>
        <w:gridCol w:w="306"/>
        <w:gridCol w:w="215"/>
        <w:gridCol w:w="1583"/>
      </w:tblGrid>
      <w:tr>
        <w:trPr>
          <w:trHeight w:val="2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</w:rPr>
              <w:t xml:space="preserve">к Договору    от___ ______202___  №_________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9"/>
                <w:tab w:val="left" w:pos="627" w:leader="none"/>
              </w:tabs>
              <w:spacing w:lineRule="auto" w:line="240" w:before="0" w:after="0"/>
              <w:ind w:left="-526" w:hanging="1332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5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92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3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3281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521" w:type="dxa"/>
            <w:gridSpan w:val="2"/>
            <w:tcBorders/>
            <w:shd w:color="auto" w:fill="FFFFFF" w:val="clea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3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1653" w:type="dxa"/>
            <w:gridSpan w:val="3"/>
            <w:tcBorders/>
          </w:tcPr>
          <w:tbl>
            <w:tblPr>
              <w:tblW w:w="9575" w:type="dxa"/>
              <w:jc w:val="left"/>
              <w:tblInd w:w="0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noVBand="0" w:val="0000" w:noHBand="0" w:lastColumn="0" w:firstColumn="0" w:lastRow="0" w:firstRow="0"/>
            </w:tblPr>
            <w:tblGrid>
              <w:gridCol w:w="976"/>
              <w:gridCol w:w="2696"/>
              <w:gridCol w:w="1782"/>
              <w:gridCol w:w="2045"/>
              <w:gridCol w:w="2076"/>
            </w:tblGrid>
            <w:tr>
              <w:trPr/>
              <w:tc>
                <w:tcPr>
                  <w:tcW w:w="9575" w:type="dxa"/>
                  <w:gridSpan w:val="5"/>
                  <w:tcBorders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СВОДНАЯ СМЕТА №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 проектные работы и инженерные изыскания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объекта)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Заказчик ___________________________________________________________________________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Проектная организация ______________________________________________________________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i/>
                      <w:i/>
                      <w:iCs/>
                    </w:rPr>
                  </w:pPr>
                  <w:r>
                    <w:rPr>
                      <w:rFonts w:ascii="Times New Roman" w:hAnsi="Times New Roman"/>
                      <w:i/>
                      <w:iCs/>
                    </w:rPr>
                    <w:t>(наименование организации)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Составлена в уровне цен на ___________ 20__ г.</w:t>
                  </w:r>
                </w:p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365" w:hRule="atLeast"/>
              </w:trPr>
              <w:tc>
                <w:tcPr>
                  <w:tcW w:w="9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N№ п/п</w:t>
                  </w:r>
                </w:p>
              </w:tc>
              <w:tc>
                <w:tcPr>
                  <w:tcW w:w="269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Обоснование</w:t>
                  </w:r>
                </w:p>
              </w:tc>
              <w:tc>
                <w:tcPr>
                  <w:tcW w:w="412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Сметная стоимость, руб.</w:t>
                  </w:r>
                </w:p>
              </w:tc>
            </w:tr>
            <w:tr>
              <w:trPr>
                <w:trHeight w:val="74" w:hRule="atLeast"/>
              </w:trPr>
              <w:tc>
                <w:tcPr>
                  <w:tcW w:w="976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696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1782" w:type="dxa"/>
                  <w:vMerge w:val="continue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pacing w:before="0"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инженерных изысканий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проектных работ</w:t>
                  </w:r>
                </w:p>
              </w:tc>
            </w:tr>
            <w:tr>
              <w:trPr>
                <w:trHeight w:val="19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firstLine="2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5</w:t>
                  </w:r>
                </w:p>
              </w:tc>
            </w:tr>
            <w:tr>
              <w:trPr>
                <w:trHeight w:val="274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Инженерные изыскания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493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>
                <w:trHeight w:val="281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Проектная документация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>
                <w:trHeight w:val="323" w:hRule="atLeast"/>
              </w:trPr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Рабочая документация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Итого по видам работ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04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  <w:tc>
                <w:tcPr>
                  <w:tcW w:w="2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  <w:tr>
              <w:trPr/>
              <w:tc>
                <w:tcPr>
                  <w:tcW w:w="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2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7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</w:r>
                </w:p>
              </w:tc>
              <w:tc>
                <w:tcPr>
                  <w:tcW w:w="412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ConsPlusNormal1"/>
                    <w:widowControl w:val="false"/>
                    <w:ind w:hanging="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cs="Times New Roman" w:ascii="Times New Roman" w:hAnsi="Times New Roman"/>
                      <w:sz w:val="22"/>
                      <w:szCs w:val="22"/>
                    </w:rPr>
                    <w:t>&lt;X&gt;</w:t>
                  </w:r>
                </w:p>
              </w:tc>
            </w:tr>
          </w:tbl>
          <w:p>
            <w:pPr>
              <w:pStyle w:val="ConsPlusNormal1"/>
              <w:widowControl w:val="false"/>
              <w:ind w:right="-5522"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3199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проектной организации 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 проекта 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Начальник ___________________ отдела 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</w:rPr>
        <w:t xml:space="preserve">                             </w:t>
      </w:r>
      <w:r>
        <w:rPr>
          <w:rFonts w:ascii="Times New Roman" w:hAnsi="Times New Roman"/>
          <w:i/>
          <w:iCs/>
        </w:rPr>
        <w:t>(наименование)                            [подпись (инициалы, фамилия)]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[должность, подпись (инициалы, фамилия)]</w:t>
      </w:r>
    </w:p>
    <w:p>
      <w:pPr>
        <w:pStyle w:val="Normal"/>
        <w:spacing w:lineRule="auto" w:line="240" w:before="0" w:after="0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  <w:r>
        <w:br w:type="page"/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>
      <w:pPr>
        <w:pStyle w:val="Normal"/>
        <w:spacing w:lineRule="auto" w:line="240" w:before="0" w:after="0"/>
        <w:ind w:left="5811" w:hanging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заполнению формы 3П</w:t>
      </w:r>
    </w:p>
    <w:p>
      <w:pPr>
        <w:pStyle w:val="Normal"/>
        <w:spacing w:lineRule="auto" w:line="240" w:before="0" w:after="0"/>
        <w:ind w:left="6373" w:hanging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Образец сметы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(форма 3п)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СМЕТА №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проектные работы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246" w:firstLine="113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объекта)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42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Заказчик ________________________________________________________________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right="124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Проектная организация ___________________________________________________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(наименование организации)</w:t>
      </w:r>
    </w:p>
    <w:p>
      <w:pPr>
        <w:pStyle w:val="Normal"/>
        <w:spacing w:lineRule="auto" w:line="240" w:before="0" w:after="0"/>
        <w:ind w:right="1246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Составлена в уровне цен на ___________ 20__ г.</w:t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коэффициента, учитывающего степень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участия исполнителей-проектировщиков различной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квалификации в выполнении проектных работ (Ккв-уч)</w:t>
      </w:r>
    </w:p>
    <w:tbl>
      <w:tblPr>
        <w:tblW w:w="10055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557"/>
        <w:gridCol w:w="1416"/>
        <w:gridCol w:w="1561"/>
        <w:gridCol w:w="1985"/>
        <w:gridCol w:w="1559"/>
        <w:gridCol w:w="1418"/>
        <w:gridCol w:w="1558"/>
      </w:tblGrid>
      <w:tr>
        <w:trPr/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41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должностей исполнителей</w:t>
            </w:r>
          </w:p>
        </w:tc>
        <w:tc>
          <w:tcPr>
            <w:tcW w:w="156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Фактическое время участия исполнителя в работе, Тф (дни)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Плановая продолжительность выполнения проектных работ, предусмотренных калькуляцией, Тп (дни)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5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одной квалификации Чi (чел)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Индекс уровня квалификации специалистов исполнителей работы И</w:t>
            </w:r>
            <w:r>
              <w:rPr>
                <w:rFonts w:cs="Times New Roman" w:ascii="Times New Roman" w:hAnsi="Times New Roman"/>
                <w:lang w:val="en-US"/>
              </w:rPr>
              <w:t>i</w:t>
            </w:r>
          </w:p>
        </w:tc>
        <w:tc>
          <w:tcPr>
            <w:tcW w:w="155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Коэффициент квалификации (участия) специалистов одной квалификации,</w:t>
            </w:r>
          </w:p>
          <w:p>
            <w:pPr>
              <w:pStyle w:val="ConsPlusNormal1"/>
              <w:widowControl w:val="false"/>
              <w:ind w:firstLine="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∑</w:t>
            </w:r>
            <w:r>
              <w:rPr>
                <w:rFonts w:cs="Times New Roman" w:ascii="Times New Roman" w:hAnsi="Times New Roman"/>
              </w:rPr>
              <w:t>(гр.3/итог гр.4 х гр.5 х гр.6) / ∑гр.5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5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</w:t>
            </w:r>
          </w:p>
        </w:tc>
        <w:tc>
          <w:tcPr>
            <w:tcW w:w="156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hyperlink w:anchor="P3816">
              <w:r>
                <w:rPr>
                  <w:rStyle w:val="Hyperlink"/>
                  <w:rFonts w:cs="Times New Roman" w:ascii="Times New Roman" w:hAnsi="Times New Roman"/>
                </w:rPr>
                <w:t>*</w:t>
              </w:r>
            </w:hyperlink>
          </w:p>
        </w:tc>
        <w:tc>
          <w:tcPr>
            <w:tcW w:w="155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sectPr>
          <w:footerReference w:type="default" r:id="rId21"/>
          <w:footerReference w:type="first" r:id="rId22"/>
          <w:footnotePr>
            <w:numFmt w:val="decimal"/>
            <w:numRestart w:val="eachSect"/>
          </w:footnotePr>
          <w:type w:val="nextPage"/>
          <w:pgSz w:w="11906" w:h="16838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Примечание: &lt;*&gt; Графы для расчета коэффициента в таблице не заполняются</w:t>
      </w:r>
      <w:r>
        <w:br w:type="page"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Расчет стоимости проектных работ в соответствии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калькуляцией затрат на проектирование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5501" w:type="dxa"/>
        <w:jc w:val="left"/>
        <w:tblInd w:w="-71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1833"/>
        <w:gridCol w:w="1276"/>
        <w:gridCol w:w="1700"/>
        <w:gridCol w:w="1845"/>
        <w:gridCol w:w="1133"/>
        <w:gridCol w:w="1702"/>
        <w:gridCol w:w="1415"/>
        <w:gridCol w:w="1702"/>
        <w:gridCol w:w="1605"/>
        <w:gridCol w:w="1288"/>
      </w:tblGrid>
      <w:tr>
        <w:trPr/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Среднемесячная зарплата исполнителей, руб.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Кол-во рабочих дней в месяце, дни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зарплата исполнителей, руб.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</w:t>
            </w:r>
            <w:hyperlink w:anchor="P3831">
              <w:r>
                <w:rPr>
                  <w:rStyle w:val="Hyperlink"/>
                  <w:rFonts w:cs="Times New Roman" w:ascii="Times New Roman" w:hAnsi="Times New Roman"/>
                </w:rPr>
                <w:t>гр 1</w:t>
              </w:r>
            </w:hyperlink>
            <w:r>
              <w:rPr>
                <w:rFonts w:cs="Times New Roman" w:ascii="Times New Roman" w:hAnsi="Times New Roman"/>
              </w:rPr>
              <w:t xml:space="preserve"> / </w:t>
            </w:r>
            <w:hyperlink w:anchor="P3832">
              <w:r>
                <w:rPr>
                  <w:rStyle w:val="Hyperlink"/>
                  <w:rFonts w:cs="Times New Roman" w:ascii="Times New Roman" w:hAnsi="Times New Roman"/>
                </w:rPr>
                <w:t>гр 2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  <w:tc>
          <w:tcPr>
            <w:tcW w:w="18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Удельный вес зарплаты в себестоимости работ - Кз, %</w:t>
            </w:r>
          </w:p>
        </w:tc>
        <w:tc>
          <w:tcPr>
            <w:tcW w:w="11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Рентабель-ность, %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Среднедневная единичная выработка, руб. (</w:t>
            </w:r>
            <w:hyperlink w:anchor="P3833">
              <w:r>
                <w:rPr>
                  <w:rStyle w:val="Hyperlink"/>
                  <w:rFonts w:cs="Times New Roman" w:ascii="Times New Roman" w:hAnsi="Times New Roman"/>
                </w:rPr>
                <w:t>гр. 3</w:t>
              </w:r>
            </w:hyperlink>
            <w:r>
              <w:rPr>
                <w:rFonts w:cs="Times New Roman" w:ascii="Times New Roman" w:hAnsi="Times New Roman"/>
              </w:rPr>
              <w:t xml:space="preserve"> x (1 + </w:t>
            </w:r>
            <w:hyperlink w:anchor="P3835">
              <w:r>
                <w:rPr>
                  <w:rStyle w:val="Hyperlink"/>
                  <w:rFonts w:cs="Times New Roman" w:ascii="Times New Roman" w:hAnsi="Times New Roman"/>
                </w:rPr>
                <w:t>гр. 5</w:t>
              </w:r>
            </w:hyperlink>
            <w:r>
              <w:rPr>
                <w:rFonts w:cs="Times New Roman" w:ascii="Times New Roman" w:hAnsi="Times New Roman"/>
              </w:rPr>
              <w:t xml:space="preserve">)) / </w:t>
            </w:r>
            <w:hyperlink w:anchor="P3834">
              <w:r>
                <w:rPr>
                  <w:rStyle w:val="Hyperlink"/>
                  <w:rFonts w:cs="Times New Roman" w:ascii="Times New Roman" w:hAnsi="Times New Roman"/>
                </w:rPr>
                <w:t>гр. 4</w:t>
              </w:r>
            </w:hyperlink>
          </w:p>
        </w:tc>
        <w:tc>
          <w:tcPr>
            <w:tcW w:w="14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Продолжи-тельность разработки (дни)</w:t>
            </w:r>
          </w:p>
        </w:tc>
        <w:tc>
          <w:tcPr>
            <w:tcW w:w="170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Численность исполнителей (чел.)</w:t>
            </w:r>
          </w:p>
        </w:tc>
        <w:tc>
          <w:tcPr>
            <w:tcW w:w="16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Коэффициент квалификации (участия)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Ккв-уч</w:t>
            </w:r>
          </w:p>
        </w:tc>
        <w:tc>
          <w:tcPr>
            <w:tcW w:w="128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Стоимость работ, руб.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 = (</w:t>
            </w:r>
            <w:hyperlink w:anchor="P3836">
              <w:r>
                <w:rPr>
                  <w:rStyle w:val="Hyperlink"/>
                  <w:rFonts w:cs="Times New Roman" w:ascii="Times New Roman" w:hAnsi="Times New Roman"/>
                </w:rPr>
                <w:t>гр. 6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7">
              <w:r>
                <w:rPr>
                  <w:rStyle w:val="Hyperlink"/>
                  <w:rFonts w:cs="Times New Roman" w:ascii="Times New Roman" w:hAnsi="Times New Roman"/>
                </w:rPr>
                <w:t>гр. 7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8">
              <w:r>
                <w:rPr>
                  <w:rStyle w:val="Hyperlink"/>
                  <w:rFonts w:cs="Times New Roman" w:ascii="Times New Roman" w:hAnsi="Times New Roman"/>
                </w:rPr>
                <w:t>гр. 8</w:t>
              </w:r>
            </w:hyperlink>
            <w:r>
              <w:rPr>
                <w:rFonts w:cs="Times New Roman" w:ascii="Times New Roman" w:hAnsi="Times New Roman"/>
              </w:rPr>
              <w:t xml:space="preserve"> x </w:t>
            </w:r>
            <w:hyperlink w:anchor="P3839">
              <w:r>
                <w:rPr>
                  <w:rStyle w:val="Hyperlink"/>
                  <w:rFonts w:cs="Times New Roman" w:ascii="Times New Roman" w:hAnsi="Times New Roman"/>
                </w:rPr>
                <w:t>гр. 9</w:t>
              </w:r>
            </w:hyperlink>
            <w:r>
              <w:rPr>
                <w:rFonts w:cs="Times New Roman" w:ascii="Times New Roman" w:hAnsi="Times New Roman"/>
              </w:rPr>
              <w:t>)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6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10</w:t>
            </w:r>
          </w:p>
        </w:tc>
      </w:tr>
      <w:tr>
        <w:trPr/>
        <w:tc>
          <w:tcPr>
            <w:tcW w:w="183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0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4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3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2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05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8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4"/>
          <w:szCs w:val="24"/>
        </w:rPr>
      </w:pPr>
      <w:r>
        <w:rPr>
          <w:rFonts w:eastAsia="Calibri" w:cs="Times New Roman" w:eastAsiaTheme="minorHAnsi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  <w:bookmarkStart w:id="25" w:name="_MON_1758635370_Копия_1"/>
      <w:bookmarkStart w:id="26" w:name="_MON_1758635370"/>
      <w:bookmarkStart w:id="27" w:name="_MON_1758635370_Копия_1"/>
      <w:bookmarkStart w:id="28" w:name="_MON_1758635370"/>
      <w:bookmarkEnd w:id="27"/>
      <w:bookmarkEnd w:id="28"/>
    </w:p>
    <w:p>
      <w:pPr>
        <w:sectPr>
          <w:footerReference w:type="default" r:id="rId25"/>
          <w:footerReference w:type="first" r:id="rId26"/>
          <w:footnotePr>
            <w:numFmt w:val="decimal"/>
            <w:numRestart w:val="eachSect"/>
          </w:footnotePr>
          <w:type w:val="nextPage"/>
          <w:pgSz w:orient="landscape" w:w="16838" w:h="11906"/>
          <w:pgMar w:left="1418" w:right="851" w:gutter="0" w:header="0" w:top="1134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ind w:hanging="0"/>
        <w:jc w:val="both"/>
        <w:rPr>
          <w:rFonts w:ascii="Times New Roman" w:hAnsi="Times New Roman" w:cs="Times New Roman"/>
          <w:sz w:val="22"/>
          <w:szCs w:val="22"/>
        </w:rPr>
      </w:pPr>
      <w:bookmarkStart w:id="29" w:name="_MON_1758635370_Копия_1"/>
      <w:bookmarkEnd w:id="29"/>
      <w:r>
        <w:rPr/>
        <w:object>
          <v:shapetype id="_x0000_tole_rId23" coordsize="21600,21600" o:spt="ole_rId23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3" type="_x0000_tole_rId23" style="width:79.45pt;height:50.65pt;mso-wrap-distance-right:0pt" filled="f" o:ole="">
            <v:imagedata r:id="rId24" o:title=""/>
          </v:shape>
          <o:OLEObject Type="Embed" ProgID="Excel.Sheet.12" ShapeID="ole_rId23" DrawAspect="Icon" ObjectID="_1904014129" r:id="rId23"/>
        </w:objec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bookmarkStart w:id="30" w:name="P3865"/>
      <w:bookmarkEnd w:id="30"/>
      <w:r>
        <w:rPr>
          <w:rFonts w:ascii="Times New Roman" w:hAnsi="Times New Roman"/>
        </w:rPr>
        <w:t>Образец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командировочные расходы по работам,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p>
      <w:pPr>
        <w:pStyle w:val="ConsPlusNormal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15038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noVBand="1" w:val="04a0" w:noHBand="0" w:lastColumn="0" w:firstColumn="1" w:lastRow="0" w:firstRow="1"/>
      </w:tblPr>
      <w:tblGrid>
        <w:gridCol w:w="491"/>
        <w:gridCol w:w="1626"/>
        <w:gridCol w:w="1698"/>
        <w:gridCol w:w="1973"/>
        <w:gridCol w:w="2664"/>
        <w:gridCol w:w="1271"/>
        <w:gridCol w:w="1917"/>
        <w:gridCol w:w="1993"/>
        <w:gridCol w:w="1403"/>
      </w:tblGrid>
      <w:tr>
        <w:trPr>
          <w:trHeight w:val="644" w:hRule="atLeast"/>
        </w:trPr>
        <w:tc>
          <w:tcPr>
            <w:tcW w:w="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п/п</w:t>
            </w:r>
          </w:p>
        </w:tc>
        <w:tc>
          <w:tcPr>
            <w:tcW w:w="16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Пункт назначения</w:t>
            </w:r>
          </w:p>
        </w:tc>
        <w:tc>
          <w:tcPr>
            <w:tcW w:w="16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Количество специалистов</w:t>
            </w:r>
          </w:p>
        </w:tc>
        <w:tc>
          <w:tcPr>
            <w:tcW w:w="19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Проезд к месту командировки (туда и обратно)</w:t>
            </w:r>
          </w:p>
        </w:tc>
        <w:tc>
          <w:tcPr>
            <w:tcW w:w="26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Проживание в номере гостиницы класса "3 звезды", 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чел/сутки.</w:t>
            </w: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Суточные</w:t>
            </w:r>
          </w:p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 сутки/руб.</w:t>
            </w:r>
          </w:p>
        </w:tc>
        <w:tc>
          <w:tcPr>
            <w:tcW w:w="19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командировки, сутки</w:t>
            </w:r>
          </w:p>
        </w:tc>
        <w:tc>
          <w:tcPr>
            <w:tcW w:w="19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Продолжительность проживания в гостинице, сутки</w:t>
            </w:r>
          </w:p>
        </w:tc>
        <w:tc>
          <w:tcPr>
            <w:tcW w:w="14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затрат, рубли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</w:t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</w:t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7</w:t>
            </w:r>
          </w:p>
        </w:tc>
        <w:tc>
          <w:tcPr>
            <w:tcW w:w="1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8</w:t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9</w:t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26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698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81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Итого по сметному расчету</w:t>
            </w:r>
          </w:p>
        </w:tc>
        <w:tc>
          <w:tcPr>
            <w:tcW w:w="197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664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271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17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9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03" w:type="dxa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ConsPlusNormal1"/>
              <w:widowControl w:val="false"/>
              <w:ind w:firstLine="6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nsPlusNormal1"/>
        <w:jc w:val="both"/>
        <w:rPr>
          <w:rFonts w:ascii="Times New Roman" w:hAnsi="Times New Roman" w:eastAsia="Calibri" w:cs="Times New Roman" w:eastAsiaTheme="minorHAnsi"/>
          <w:sz w:val="22"/>
          <w:szCs w:val="22"/>
        </w:rPr>
      </w:pPr>
      <w:r>
        <w:rPr>
          <w:rFonts w:eastAsia="Calibri" w:cs="Times New Roman" w:eastAsiaTheme="minorHAnsi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 w:eastAsia="Calibri" w:eastAsiaTheme="minorHAnsi"/>
        </w:rPr>
      </w:pPr>
      <w:r>
        <w:rPr>
          <w:rFonts w:ascii="Times New Roman" w:hAnsi="Times New Roman"/>
        </w:rPr>
        <w:t>Руководитель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проектной организации 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Главный инженер</w:t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проекта _____________________________________________________________________________________________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  <w:t>[подпись (инициалы, фамилия)]</w:t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center"/>
        <w:rPr>
          <w:rFonts w:ascii="Times New Roman" w:hAnsi="Times New Roman"/>
          <w:i/>
          <w:i/>
          <w:iCs/>
        </w:rPr>
      </w:pPr>
      <w:r>
        <w:rPr>
          <w:rFonts w:ascii="Times New Roman" w:hAnsi="Times New Roman"/>
          <w:i/>
          <w:iCs/>
        </w:rPr>
      </w:r>
    </w:p>
    <w:p>
      <w:pPr>
        <w:pStyle w:val="Normal"/>
        <w:spacing w:lineRule="auto" w:line="240" w:before="0" w:after="0"/>
        <w:ind w:right="2947" w:hanging="0"/>
        <w:jc w:val="both"/>
        <w:rPr>
          <w:rFonts w:ascii="Times New Roman" w:hAnsi="Times New Roman"/>
          <w:i/>
          <w:i/>
          <w:iCs/>
        </w:rPr>
      </w:pPr>
      <w:bookmarkStart w:id="31" w:name="_Hlk146878269"/>
      <w:r>
        <w:rPr/>
        <w:object>
          <v:shapetype id="_x0000_tole_rId27" coordsize="21600,21600" o:spt="ole_rId27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7" type="_x0000_tole_rId27" style="width:79.45pt;height:50.65pt;mso-wrap-distance-right:0pt" filled="f" o:ole="">
            <v:imagedata r:id="rId28" o:title=""/>
          </v:shape>
          <o:OLEObject Type="Embed" ProgID="Excel.Sheet.12" ShapeID="ole_rId27" DrawAspect="Icon" ObjectID="_2071930339" r:id="rId27"/>
        </w:object>
      </w:r>
      <w:bookmarkStart w:id="32" w:name="_GoBack"/>
      <w:bookmarkEnd w:id="31"/>
      <w:bookmarkEnd w:id="32"/>
    </w:p>
    <w:sectPr>
      <w:footerReference w:type="default" r:id="rId29"/>
      <w:footerReference w:type="first" r:id="rId30"/>
      <w:footnotePr>
        <w:numFmt w:val="decimal"/>
        <w:numRestart w:val="eachSect"/>
      </w:footnotePr>
      <w:type w:val="nextPage"/>
      <w:pgSz w:orient="landscape" w:w="16838" w:h="11906"/>
      <w:pgMar w:left="1418" w:right="851" w:gutter="0" w:header="0" w:top="1134" w:footer="709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5879367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5180301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3369951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17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19</w:t>
    </w:r>
    <w:r>
      <w:rPr/>
      <w:fldChar w:fldCharType="end"/>
    </w:r>
  </w:p>
  <w:p>
    <w:pPr>
      <w:pStyle w:val="Footer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20</w:t>
    </w:r>
    <w:r>
      <w:rPr/>
      <w:fldChar w:fldCharType="end"/>
    </w:r>
  </w:p>
  <w:p>
    <w:pPr>
      <w:pStyle w:val="Footer"/>
      <w:rPr/>
    </w:pPr>
    <w:r>
      <w:rPr/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21</w:t>
    </w:r>
    <w:r>
      <w:rPr/>
      <w:fldChar w:fldCharType="end"/>
    </w:r>
  </w:p>
  <w:p>
    <w:pPr>
      <w:pStyle w:val="Footer"/>
      <w:rPr/>
    </w:pPr>
    <w:r>
      <w:rPr/>
    </w:r>
  </w:p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69615459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1490111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</w:t>
    </w:r>
    <w:r>
      <w:rPr/>
      <w:fldChar w:fldCharType="end"/>
    </w:r>
  </w:p>
  <w:p>
    <w:pPr>
      <w:pStyle w:val="Footer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69055191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jc w:val="both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Закупки, на которые распространяются требования Градостроительного кодекса, Статья 8.3, пункт 1 «При этом сметные нормативы и сметные цены строительных ресурсов, использованные при определении сметной стоимости строительства, не подлежат применению при исполнении указанных контрактов или договоров».</w:t>
      </w:r>
    </w:p>
  </w:footnote>
  <w:footnote w:id="3">
    <w:p>
      <w:pPr>
        <w:pStyle w:val="FootnoteText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«Единая Методика формирования плановой цены на закупаемую продукцию для организации Группы РусГидро», утвержденной Приказом ПАО «РусГидро» от 23.11.2022 №893 в редакции Приказа от 05.09.2023 № 649</w:t>
      </w:r>
    </w:p>
  </w:footnote>
  <w:footnote w:id="4">
    <w:p>
      <w:pPr>
        <w:pStyle w:val="FootnoteText"/>
        <w:ind w:left="567" w:hanging="0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Заполняется в соответствии с проектом сметы контракта без изменения содержания</w:t>
      </w:r>
    </w:p>
  </w:footnote>
  <w:footnote w:id="5">
    <w:p>
      <w:pPr>
        <w:pStyle w:val="Normal"/>
        <w:shd w:val="clear" w:color="auto" w:fill="FFFFFF"/>
        <w:spacing w:lineRule="auto" w:line="240" w:before="0" w:after="0"/>
        <w:ind w:left="567" w:hanging="0"/>
        <w:rPr>
          <w:rFonts w:ascii="Times New Roman" w:hAnsi="Times New Roman"/>
          <w:color w:val="1A1A1A"/>
          <w:sz w:val="20"/>
          <w:szCs w:val="20"/>
        </w:rPr>
      </w:pPr>
      <w:r>
        <w:rPr>
          <w:rStyle w:val="Style3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  <w:szCs w:val="20"/>
        </w:rPr>
        <w:t>Указывается</w:t>
      </w:r>
      <w:r>
        <w:rPr>
          <w:rFonts w:ascii="Times New Roman" w:hAnsi="Times New Roman"/>
          <w:color w:val="1A1A1A"/>
          <w:sz w:val="20"/>
          <w:szCs w:val="20"/>
        </w:rPr>
        <w:t xml:space="preserve"> (в рублях) стоимость всего, определенная как произведение значений граф 4 и 5 сметы контракта. В отношении оборудования указывается стоимость без НДС и стоимость с НДС в формате "стоимость без НДС (стоимость с НДС)".</w:t>
      </w:r>
    </w:p>
    <w:p>
      <w:pPr>
        <w:pStyle w:val="FootnoteText"/>
        <w:ind w:left="567" w:hanging="0"/>
        <w:rPr/>
      </w:pPr>
      <w:r>
        <w:rPr/>
      </w:r>
    </w:p>
  </w:footnote>
  <w:footnote w:id="6">
    <w:p>
      <w:pPr>
        <w:pStyle w:val="FootnoteText"/>
        <w:ind w:left="567" w:hanging="0"/>
        <w:rPr/>
      </w:pPr>
      <w:r>
        <w:rPr>
          <w:rStyle w:val="Style3"/>
        </w:rPr>
        <w:footnoteRef/>
      </w:r>
      <w:r>
        <w:rPr/>
        <w:t xml:space="preserve"> </w:t>
      </w:r>
      <w:r>
        <w:rPr/>
        <w:t>Заполняется в соответствии с проектом сметы контракта без изменения содержания</w:t>
      </w:r>
    </w:p>
  </w:footnote>
  <w:footnote w:id="7">
    <w:p>
      <w:pPr>
        <w:pStyle w:val="Normal"/>
        <w:shd w:val="clear" w:color="auto" w:fill="FFFFFF"/>
        <w:spacing w:lineRule="auto" w:line="240" w:before="0" w:after="0"/>
        <w:rPr/>
      </w:pPr>
      <w:r>
        <w:rPr>
          <w:rStyle w:val="Style3"/>
        </w:rPr>
        <w:footnoteRef/>
      </w:r>
      <w:r>
        <w:rPr/>
        <w:t xml:space="preserve"> </w:t>
      </w:r>
      <w:r>
        <w:rPr>
          <w:rFonts w:ascii="Times New Roman" w:hAnsi="Times New Roman"/>
          <w:sz w:val="20"/>
          <w:szCs w:val="20"/>
        </w:rPr>
        <w:t>Указывается</w:t>
      </w:r>
      <w:r>
        <w:rPr>
          <w:rFonts w:ascii="Times New Roman" w:hAnsi="Times New Roman"/>
          <w:color w:val="1A1A1A"/>
          <w:sz w:val="20"/>
          <w:szCs w:val="20"/>
        </w:rPr>
        <w:t xml:space="preserve"> (в рублях) стоимость всего, определенная как произведение значений граф 4 и 5 сметы контракта. В отношении оборудования указывается стоимость без НДС и стоимость с НДС в формате "стоимость без НДС (стоимость с НДС)".</w:t>
      </w:r>
    </w:p>
  </w:footnote>
  <w:footnote w:id="8"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color w:val="1A1A1A"/>
          <w:sz w:val="20"/>
          <w:szCs w:val="20"/>
        </w:rPr>
      </w:pPr>
      <w:r>
        <w:rPr>
          <w:rStyle w:val="Style3"/>
        </w:rPr>
        <w:footnoteRef/>
      </w:r>
      <w:r>
        <w:rPr/>
        <w:t xml:space="preserve"> </w:t>
      </w:r>
      <w:r>
        <w:rPr>
          <w:rFonts w:ascii="Times New Roman" w:hAnsi="Times New Roman"/>
          <w:color w:val="1A1A1A"/>
          <w:sz w:val="20"/>
          <w:szCs w:val="20"/>
        </w:rPr>
        <w:t xml:space="preserve">Наименование оборудования указывается в случае его выделения отдельной строкой (если оборудование в соответствии с законодательством Российской Федерации о бухгалтерском учете подлежит принятию к бухгалтерскому учету в качестве отдельного объекта основных средств. В иных случаях решение о выделении оборудования отдельной строкой принимается заказчиком)  </w:t>
      </w:r>
    </w:p>
    <w:p>
      <w:pPr>
        <w:pStyle w:val="FootnoteText"/>
        <w:rPr/>
      </w:pPr>
      <w:r>
        <w:rPr/>
      </w:r>
    </w:p>
  </w:footnote>
  <w:footnote w:id="9"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Style w:val="Style3"/>
        </w:rPr>
        <w:footnoteRef/>
      </w:r>
      <w:r>
        <w:rPr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На официальном сайте единой межведомственной информационно-статистической системы (ЕМИСС) https://www.fedstat.ru указанная информация представлена по показателю «Среднемесячная номинальная начисленная заработная плата работающих в экономике с 2017 г.», в графе «Классификатор видов экономической деятельности» следует выбрать «Деятельность в области архитектуры и инженерно-технического проектирования; технических испытаний, исследований и анализа».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</w:p>
    <w:p>
      <w:pPr>
        <w:pStyle w:val="Normal"/>
        <w:spacing w:lineRule="auto" w:line="240" w:before="0" w:after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Для работ по проектированию объектов, являющихся особо опасными, технически сложными, уникальными объектами следует выбрать «Деятельность в области архитектуры, инженерных изысканий и предоставление технических консультаций в этих областях».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center"/>
      <w:pPr>
        <w:tabs>
          <w:tab w:val="num" w:pos="1130"/>
        </w:tabs>
        <w:ind w:left="1130" w:hanging="279"/>
      </w:pPr>
      <w:rPr>
        <w:sz w:val="24"/>
        <w:i w:val="false"/>
        <w:u w:val="none"/>
        <w:b w:val="false"/>
        <w:szCs w:val="24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  <w:b w:val="fals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sz w:val="24"/>
        <w:i w:val="false"/>
        <w:u w:val="none"/>
        <w:b w:val="false"/>
        <w:szCs w:val="24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sz w:val="24"/>
        <w:u w:val="none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false"/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397"/>
        </w:tabs>
        <w:ind w:left="0" w:hanging="0"/>
      </w:pPr>
      <w:rPr>
        <w:i w:val="false"/>
        <w:b w:val="fals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284" w:hanging="0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ascii="Times New Roman" w:hAnsi="Times New Roman" w:cs="Times New Roman"/>
        <w:color w:val="000000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14"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/>
    </w:lvl>
    <w:lvl w:ilvl="1">
      <w:start w:val="4"/>
      <w:numFmt w:val="decimal"/>
      <w:lvlText w:val="%1.%2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/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footnotePr>
    <w:numFmt w:val="decimal"/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2f0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dc37db"/>
    <w:rPr/>
  </w:style>
  <w:style w:type="character" w:styleId="Style17" w:customStyle="1">
    <w:name w:val="Символ концевой сноски"/>
    <w:uiPriority w:val="99"/>
    <w:semiHidden/>
    <w:unhideWhenUsed/>
    <w:qFormat/>
    <w:rsid w:val="00dc37db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470434"/>
    <w:rPr>
      <w:color w:val="808080"/>
    </w:rPr>
  </w:style>
  <w:style w:type="character" w:styleId="Style18" w:customStyle="1">
    <w:name w:val="РГ_номер текста табл Знак"/>
    <w:basedOn w:val="12"/>
    <w:link w:val="Style34"/>
    <w:qFormat/>
    <w:rsid w:val="00470434"/>
    <w:rPr>
      <w:rFonts w:ascii="Calibri" w:hAnsi="Calibri" w:eastAsia="Calibri" w:cs="Calibri" w:asciiTheme="minorHAnsi" w:cstheme="minorHAnsi" w:hAnsiTheme="minorHAnsi"/>
      <w:sz w:val="24"/>
      <w:szCs w:val="22"/>
      <w:lang w:eastAsia="en-US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12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ConsPlusNonformat" w:customStyle="1">
    <w:name w:val="ConsPlusNonformat"/>
    <w:basedOn w:val="Normal"/>
    <w:qFormat/>
    <w:rsid w:val="000753e1"/>
    <w:pPr>
      <w:spacing w:lineRule="auto" w:line="240" w:before="0" w:after="0"/>
    </w:pPr>
    <w:rPr>
      <w:rFonts w:ascii="Courier New" w:hAnsi="Courier New" w:eastAsia="Calibri" w:cs="Courier New" w:eastAsiaTheme="minorHAnsi"/>
      <w:sz w:val="20"/>
      <w:szCs w:val="20"/>
    </w:rPr>
  </w:style>
  <w:style w:type="paragraph" w:styleId="Dt-p" w:customStyle="1">
    <w:name w:val="dt-p"/>
    <w:basedOn w:val="Normal"/>
    <w:qFormat/>
    <w:rsid w:val="00a05152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Style16"/>
    <w:uiPriority w:val="99"/>
    <w:semiHidden/>
    <w:unhideWhenUsed/>
    <w:rsid w:val="00dc37db"/>
    <w:pPr>
      <w:spacing w:lineRule="auto" w:line="240" w:before="0" w:after="0"/>
    </w:pPr>
    <w:rPr>
      <w:sz w:val="20"/>
      <w:szCs w:val="20"/>
    </w:rPr>
  </w:style>
  <w:style w:type="paragraph" w:styleId="Style34" w:customStyle="1">
    <w:name w:val="РГ_номер текста табл"/>
    <w:basedOn w:val="ListParagraph"/>
    <w:link w:val="Style18"/>
    <w:qFormat/>
    <w:rsid w:val="00470434"/>
    <w:pPr>
      <w:numPr>
        <w:ilvl w:val="0"/>
        <w:numId w:val="13"/>
      </w:numPr>
      <w:spacing w:lineRule="auto" w:line="240"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 w:val="24"/>
      <w:lang w:eastAsia="en-US"/>
    </w:rPr>
  </w:style>
  <w:style w:type="paragraph" w:styleId="111" w:customStyle="1">
    <w:name w:val="1.1. таблица"/>
    <w:basedOn w:val="Style34"/>
    <w:qFormat/>
    <w:rsid w:val="00470434"/>
    <w:pPr>
      <w:numPr>
        <w:ilvl w:val="1"/>
      </w:numPr>
      <w:ind w:left="1440" w:hanging="360"/>
    </w:pPr>
    <w:rPr/>
  </w:style>
  <w:style w:type="paragraph" w:styleId="Xmsolistparagraph" w:customStyle="1">
    <w:name w:val="x_msolistparagraph"/>
    <w:basedOn w:val="Normal"/>
    <w:qFormat/>
    <w:rsid w:val="001d51d9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35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9">
    <w:name w:val="Table Grid"/>
    <w:basedOn w:val="a6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hyperlink" Target="../../../../../../../tmp/mozilla_mozzhuhin_dyu0/3&#1055;" TargetMode="External"/><Relationship Id="rId10" Type="http://schemas.openxmlformats.org/officeDocument/2006/relationships/footer" Target="footer8.xml"/><Relationship Id="rId11" Type="http://schemas.openxmlformats.org/officeDocument/2006/relationships/footer" Target="footer9.xml"/><Relationship Id="rId12" Type="http://schemas.openxmlformats.org/officeDocument/2006/relationships/hyperlink" Target="consultantplus://offline/ref=B32CDE0E905E401B1BFF323EF993DB2C6865F0A971913444C3F7F56C5AF257E783F32977DF4E2DA4F5ACBC60359FF614F9C1315096B586250A26N" TargetMode="External"/><Relationship Id="rId13" Type="http://schemas.openxmlformats.org/officeDocument/2006/relationships/hyperlink" Target="consultantplus://offline/ref=B32CDE0E905E401B1BFF323EF993DB2C6F6DF7AA75973444C3F7F56C5AF257E783F32977DC422FF8A5E3BD3C70CDE515FFC133518A0B25N" TargetMode="External"/><Relationship Id="rId14" Type="http://schemas.openxmlformats.org/officeDocument/2006/relationships/hyperlink" Target="consultantplus://offline/ref=B32CDE0E905E401B1BFF323EF993DB2C6865F0A971913444C3F7F56C5AF257E783F32977DF4D24ACF0ACBC60359FF614F9C1315096B586250A26N" TargetMode="External"/><Relationship Id="rId15" Type="http://schemas.openxmlformats.org/officeDocument/2006/relationships/hyperlink" Target="consultantplus://offline/ref=B32CDE0E905E401B1BFF323EF993DB2C6F62F6A7789C3444C3F7F56C5AF257E783F32977DF4B25AAFDACBC60359FF614F9C1315096B586250A26N" TargetMode="External"/><Relationship Id="rId16" Type="http://schemas.openxmlformats.org/officeDocument/2006/relationships/hyperlink" Target="consultantplus://offline/ref=B32CDE0E905E401B1BFF323EF993DB2C6F6DF7AA75973444C3F7F56C5AF257E783F32974D8482DA7A0F6AC647CCBFC0BFEDE2F5388B50824N" TargetMode="External"/><Relationship Id="rId17" Type="http://schemas.openxmlformats.org/officeDocument/2006/relationships/footer" Target="footer10.xml"/><Relationship Id="rId18" Type="http://schemas.openxmlformats.org/officeDocument/2006/relationships/footer" Target="footer11.xml"/><Relationship Id="rId19" Type="http://schemas.openxmlformats.org/officeDocument/2006/relationships/footer" Target="footer12.xml"/><Relationship Id="rId20" Type="http://schemas.openxmlformats.org/officeDocument/2006/relationships/footer" Target="footer13.xml"/><Relationship Id="rId21" Type="http://schemas.openxmlformats.org/officeDocument/2006/relationships/footer" Target="footer14.xml"/><Relationship Id="rId22" Type="http://schemas.openxmlformats.org/officeDocument/2006/relationships/footer" Target="footer15.xml"/><Relationship Id="rId23" Type="http://schemas.openxmlformats.org/officeDocument/2006/relationships/package" Target="embeddings/oleObject1.xlsx"/><Relationship Id="rId24" Type="http://schemas.openxmlformats.org/officeDocument/2006/relationships/image" Target="media/image1.wmf"/><Relationship Id="rId25" Type="http://schemas.openxmlformats.org/officeDocument/2006/relationships/footer" Target="footer16.xml"/><Relationship Id="rId26" Type="http://schemas.openxmlformats.org/officeDocument/2006/relationships/footer" Target="footer17.xml"/><Relationship Id="rId27" Type="http://schemas.openxmlformats.org/officeDocument/2006/relationships/package" Target="embeddings/oleObject2.xlsx"/><Relationship Id="rId28" Type="http://schemas.openxmlformats.org/officeDocument/2006/relationships/image" Target="media/image2.wmf"/><Relationship Id="rId29" Type="http://schemas.openxmlformats.org/officeDocument/2006/relationships/footer" Target="footer18.xml"/><Relationship Id="rId30" Type="http://schemas.openxmlformats.org/officeDocument/2006/relationships/footer" Target="footer19.xml"/><Relationship Id="rId31" Type="http://schemas.openxmlformats.org/officeDocument/2006/relationships/footnotes" Target="footnotes.xml"/><Relationship Id="rId32" Type="http://schemas.openxmlformats.org/officeDocument/2006/relationships/numbering" Target="numbering.xml"/><Relationship Id="rId33" Type="http://schemas.openxmlformats.org/officeDocument/2006/relationships/fontTable" Target="fontTable.xml"/><Relationship Id="rId34" Type="http://schemas.openxmlformats.org/officeDocument/2006/relationships/settings" Target="settings.xml"/><Relationship Id="rId35" Type="http://schemas.openxmlformats.org/officeDocument/2006/relationships/theme" Target="theme/theme1.xml"/><Relationship Id="rId3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B1191-B641-49ED-9ACF-CE411A20A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AlterOffice/3.4.0.6$Linux_X86_64 LibreOffice_project/ad8c41dce69105450bf791d4900d64b1f82e10d0</Application>
  <AppVersion>15.0000</AppVersion>
  <Pages>21</Pages>
  <Words>5373</Words>
  <Characters>39166</Characters>
  <CharactersWithSpaces>41611</CharactersWithSpaces>
  <Paragraphs>529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2026-06-02T00:28:00Z</dcterms:created>
  <dc:creator>Торопов Денис Владимирович</dc:creator>
  <dc:description/>
  <dc:language>ru-RU</dc:language>
  <cp:lastModifiedBy>mozzhuhin_dyu</cp:lastModifiedBy>
  <cp:lastPrinted>2021-07-09T09:18:00Z</cp:lastPrinted>
  <dcterms:modified xsi:type="dcterms:W3CDTF">2026-06-06T09:49:38Z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